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b/>
          <w:sz w:val="36"/>
          <w:szCs w:val="36"/>
        </w:rPr>
      </w:pPr>
      <w:r>
        <w:rPr>
          <w:rFonts w:hint="eastAsia" w:ascii="方正大标宋简体" w:eastAsia="方正大标宋简体"/>
          <w:b/>
          <w:sz w:val="36"/>
          <w:szCs w:val="36"/>
        </w:rPr>
        <w:t>武汉科技大学生命科学与健康学院</w:t>
      </w:r>
      <w:r>
        <w:rPr>
          <w:rFonts w:hint="eastAsia" w:ascii="方正大标宋简体" w:eastAsia="方正大标宋简体"/>
          <w:b/>
          <w:sz w:val="36"/>
          <w:szCs w:val="36"/>
          <w:lang w:val="en-US" w:eastAsia="zh-CN"/>
        </w:rPr>
        <w:t>硕士</w:t>
      </w:r>
      <w:r>
        <w:rPr>
          <w:rFonts w:hint="eastAsia" w:ascii="方正大标宋简体" w:eastAsia="方正大标宋简体"/>
          <w:b/>
          <w:sz w:val="36"/>
          <w:szCs w:val="36"/>
        </w:rPr>
        <w:t>研究生</w:t>
      </w:r>
    </w:p>
    <w:p>
      <w:pPr>
        <w:jc w:val="center"/>
        <w:rPr>
          <w:rFonts w:hint="eastAsia" w:ascii="方正大标宋简体" w:eastAsia="方正大标宋简体"/>
          <w:b/>
          <w:sz w:val="36"/>
          <w:szCs w:val="36"/>
          <w:lang w:eastAsia="zh-CN"/>
        </w:rPr>
      </w:pPr>
      <w:r>
        <w:rPr>
          <w:rFonts w:hint="eastAsia" w:ascii="方正大标宋简体" w:eastAsia="方正大标宋简体"/>
          <w:b/>
          <w:sz w:val="36"/>
          <w:szCs w:val="36"/>
        </w:rPr>
        <w:t>国家奖学金评选计分标准</w:t>
      </w:r>
      <w:r>
        <w:rPr>
          <w:rFonts w:hint="eastAsia" w:ascii="方正大标宋简体" w:eastAsia="方正大标宋简体"/>
          <w:b/>
          <w:sz w:val="36"/>
          <w:szCs w:val="36"/>
          <w:lang w:eastAsia="zh-CN"/>
        </w:rPr>
        <w:t>（</w:t>
      </w:r>
      <w:r>
        <w:rPr>
          <w:rFonts w:hint="eastAsia" w:ascii="方正大标宋简体" w:eastAsia="方正大标宋简体"/>
          <w:b/>
          <w:sz w:val="36"/>
          <w:szCs w:val="36"/>
          <w:lang w:val="en-US" w:eastAsia="zh-CN"/>
        </w:rPr>
        <w:t>修订稿</w:t>
      </w:r>
      <w:r>
        <w:rPr>
          <w:rFonts w:hint="eastAsia" w:ascii="方正大标宋简体" w:eastAsia="方正大标宋简体"/>
          <w:b/>
          <w:sz w:val="36"/>
          <w:szCs w:val="36"/>
          <w:lang w:eastAsia="zh-CN"/>
        </w:rPr>
        <w:t>）</w:t>
      </w:r>
    </w:p>
    <w:p>
      <w:pPr>
        <w:ind w:firstLine="600" w:firstLineChars="200"/>
        <w:rPr>
          <w:rFonts w:hint="eastAsia"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为确保</w:t>
      </w:r>
      <w:r>
        <w:rPr>
          <w:rFonts w:hint="eastAsia" w:ascii="仿宋_GB2312" w:eastAsia="仿宋_GB2312"/>
          <w:sz w:val="30"/>
          <w:szCs w:val="30"/>
          <w:lang w:val="en-US" w:eastAsia="zh-CN"/>
        </w:rPr>
        <w:t>硕士</w:t>
      </w:r>
      <w:r>
        <w:rPr>
          <w:rFonts w:hint="eastAsia" w:ascii="仿宋_GB2312" w:eastAsia="仿宋_GB2312"/>
          <w:sz w:val="30"/>
          <w:szCs w:val="30"/>
        </w:rPr>
        <w:t>研究生国家奖学金评选的“公开、公平、公正”，充分发挥研究生国家奖学金的激励作用，按照国家、省教育厅以及学校相关文件，特制定我院研究生国家奖学金评选计分标准。</w:t>
      </w:r>
    </w:p>
    <w:p>
      <w:pPr>
        <w:spacing w:before="156" w:beforeLines="50" w:after="156" w:afterLines="50"/>
        <w:ind w:firstLine="600" w:firstLineChars="200"/>
        <w:rPr>
          <w:rFonts w:ascii="黑体" w:hAnsi="黑体" w:eastAsia="黑体"/>
          <w:sz w:val="30"/>
          <w:szCs w:val="30"/>
        </w:rPr>
      </w:pPr>
      <w:r>
        <w:rPr>
          <w:rFonts w:hint="eastAsia" w:ascii="黑体" w:hAnsi="黑体" w:eastAsia="黑体"/>
          <w:sz w:val="30"/>
          <w:szCs w:val="30"/>
        </w:rPr>
        <w:t>一、</w:t>
      </w:r>
      <w:r>
        <w:rPr>
          <w:rFonts w:hint="eastAsia" w:ascii="黑体" w:hAnsi="黑体" w:eastAsia="黑体"/>
          <w:sz w:val="30"/>
          <w:szCs w:val="30"/>
          <w:lang w:val="en-US" w:eastAsia="zh-CN"/>
        </w:rPr>
        <w:t>硕士</w:t>
      </w:r>
      <w:r>
        <w:rPr>
          <w:rFonts w:hint="eastAsia" w:ascii="黑体" w:hAnsi="黑体" w:eastAsia="黑体"/>
          <w:sz w:val="30"/>
          <w:szCs w:val="30"/>
        </w:rPr>
        <w:t>研究生国家奖学金的计分标准</w:t>
      </w:r>
    </w:p>
    <w:p>
      <w:pPr>
        <w:ind w:firstLine="600" w:firstLineChars="200"/>
        <w:rPr>
          <w:rFonts w:ascii="仿宋_GB2312" w:eastAsia="仿宋_GB2312"/>
          <w:sz w:val="30"/>
          <w:szCs w:val="30"/>
        </w:rPr>
      </w:pPr>
      <w:r>
        <w:rPr>
          <w:rFonts w:hint="eastAsia" w:ascii="仿宋_GB2312" w:eastAsia="仿宋_GB2312"/>
          <w:sz w:val="30"/>
          <w:szCs w:val="30"/>
        </w:rPr>
        <w:t>总分=科研获奖得分+专利、论文及著作得分+社会工作得分</w:t>
      </w:r>
    </w:p>
    <w:p>
      <w:pPr>
        <w:spacing w:line="440" w:lineRule="exact"/>
        <w:ind w:firstLine="720" w:firstLineChars="300"/>
        <w:jc w:val="left"/>
        <w:rPr>
          <w:rFonts w:ascii="仿宋_GB2312" w:eastAsia="仿宋_GB2312"/>
          <w:bCs/>
          <w:sz w:val="24"/>
        </w:rPr>
      </w:pPr>
      <w:r>
        <w:rPr>
          <w:rFonts w:hint="eastAsia" w:ascii="仿宋_GB2312" w:eastAsia="仿宋_GB2312"/>
          <w:bCs/>
          <w:sz w:val="24"/>
        </w:rPr>
        <w:t>注：申报者课程学习成绩的平均分需达到75分以上，且不得挂科。申报研究生国家奖学金成功后的材料不可重复使用。</w:t>
      </w:r>
    </w:p>
    <w:p>
      <w:pPr>
        <w:spacing w:before="156" w:beforeLines="50" w:after="156" w:afterLines="50"/>
        <w:ind w:firstLine="600" w:firstLineChars="200"/>
        <w:rPr>
          <w:rFonts w:ascii="黑体" w:hAnsi="黑体" w:eastAsia="黑体"/>
          <w:sz w:val="30"/>
          <w:szCs w:val="30"/>
        </w:rPr>
      </w:pPr>
      <w:bookmarkStart w:id="0" w:name="OLE_LINK2"/>
      <w:bookmarkStart w:id="1" w:name="OLE_LINK1"/>
      <w:r>
        <w:rPr>
          <w:rFonts w:hint="eastAsia" w:ascii="黑体" w:hAnsi="黑体" w:eastAsia="黑体"/>
          <w:sz w:val="30"/>
          <w:szCs w:val="30"/>
        </w:rPr>
        <w:t>二、科研获奖计分标准</w:t>
      </w:r>
    </w:p>
    <w:tbl>
      <w:tblPr>
        <w:tblStyle w:val="4"/>
        <w:tblW w:w="8960"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1"/>
        <w:gridCol w:w="1145"/>
        <w:gridCol w:w="1726"/>
        <w:gridCol w:w="1987"/>
        <w:gridCol w:w="23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771" w:type="dxa"/>
            <w:vAlign w:val="center"/>
          </w:tcPr>
          <w:p>
            <w:pPr>
              <w:spacing w:line="240" w:lineRule="atLeast"/>
              <w:jc w:val="center"/>
              <w:rPr>
                <w:rFonts w:ascii="黑体" w:hAnsi="黑体" w:eastAsia="黑体"/>
                <w:sz w:val="24"/>
              </w:rPr>
            </w:pPr>
            <w:r>
              <w:rPr>
                <w:rFonts w:hint="eastAsia" w:ascii="黑体" w:hAnsi="黑体" w:eastAsia="黑体"/>
                <w:sz w:val="24"/>
              </w:rPr>
              <w:t>类别</w:t>
            </w:r>
          </w:p>
        </w:tc>
        <w:tc>
          <w:tcPr>
            <w:tcW w:w="1145" w:type="dxa"/>
            <w:vAlign w:val="center"/>
          </w:tcPr>
          <w:p>
            <w:pPr>
              <w:spacing w:line="240" w:lineRule="atLeast"/>
              <w:jc w:val="center"/>
              <w:rPr>
                <w:rFonts w:ascii="黑体" w:hAnsi="黑体" w:eastAsia="黑体"/>
                <w:sz w:val="24"/>
              </w:rPr>
            </w:pPr>
            <w:r>
              <w:rPr>
                <w:rFonts w:hint="eastAsia" w:ascii="黑体" w:hAnsi="黑体" w:eastAsia="黑体"/>
                <w:sz w:val="24"/>
              </w:rPr>
              <w:t>等级</w:t>
            </w:r>
          </w:p>
        </w:tc>
        <w:tc>
          <w:tcPr>
            <w:tcW w:w="1726" w:type="dxa"/>
            <w:vAlign w:val="center"/>
          </w:tcPr>
          <w:p>
            <w:pPr>
              <w:spacing w:line="240" w:lineRule="atLeast"/>
              <w:jc w:val="center"/>
              <w:rPr>
                <w:rFonts w:ascii="黑体" w:hAnsi="黑体" w:eastAsia="黑体"/>
                <w:sz w:val="24"/>
              </w:rPr>
            </w:pPr>
            <w:r>
              <w:rPr>
                <w:rFonts w:hint="eastAsia" w:ascii="黑体" w:hAnsi="黑体" w:eastAsia="黑体"/>
                <w:sz w:val="24"/>
              </w:rPr>
              <w:t>作者排名</w:t>
            </w:r>
          </w:p>
          <w:p>
            <w:pPr>
              <w:spacing w:line="240" w:lineRule="atLeast"/>
              <w:jc w:val="center"/>
              <w:rPr>
                <w:rFonts w:ascii="黑体" w:hAnsi="黑体" w:eastAsia="黑体"/>
                <w:sz w:val="24"/>
              </w:rPr>
            </w:pPr>
            <w:r>
              <w:rPr>
                <w:rFonts w:hint="eastAsia" w:ascii="黑体" w:hAnsi="黑体" w:eastAsia="黑体"/>
                <w:sz w:val="24"/>
              </w:rPr>
              <w:t>顺序</w:t>
            </w:r>
          </w:p>
        </w:tc>
        <w:tc>
          <w:tcPr>
            <w:tcW w:w="1987" w:type="dxa"/>
            <w:vAlign w:val="center"/>
          </w:tcPr>
          <w:p>
            <w:pPr>
              <w:spacing w:line="240" w:lineRule="atLeast"/>
              <w:jc w:val="center"/>
              <w:rPr>
                <w:rFonts w:ascii="黑体" w:hAnsi="黑体" w:eastAsia="黑体"/>
                <w:sz w:val="24"/>
              </w:rPr>
            </w:pPr>
            <w:r>
              <w:rPr>
                <w:rFonts w:hint="eastAsia" w:ascii="黑体" w:hAnsi="黑体" w:eastAsia="黑体"/>
                <w:sz w:val="24"/>
              </w:rPr>
              <w:t>计分(分</w:t>
            </w:r>
            <w:r>
              <w:rPr>
                <w:rFonts w:ascii="黑体" w:hAnsi="黑体" w:eastAsia="黑体"/>
                <w:sz w:val="24"/>
              </w:rPr>
              <w:t>/</w:t>
            </w:r>
            <w:r>
              <w:rPr>
                <w:rFonts w:hint="eastAsia" w:ascii="黑体" w:hAnsi="黑体" w:eastAsia="黑体"/>
                <w:sz w:val="24"/>
              </w:rPr>
              <w:t>项)</w:t>
            </w:r>
          </w:p>
        </w:tc>
        <w:tc>
          <w:tcPr>
            <w:tcW w:w="2331" w:type="dxa"/>
            <w:vAlign w:val="center"/>
          </w:tcPr>
          <w:p>
            <w:pPr>
              <w:spacing w:line="240" w:lineRule="atLeast"/>
              <w:jc w:val="center"/>
              <w:rPr>
                <w:rFonts w:ascii="黑体" w:hAnsi="黑体" w:eastAsia="黑体"/>
                <w:sz w:val="24"/>
              </w:rPr>
            </w:pPr>
            <w:r>
              <w:rPr>
                <w:rFonts w:hint="eastAsia" w:ascii="黑体" w:hAnsi="黑体" w:eastAsia="黑体"/>
                <w:sz w:val="24"/>
              </w:rPr>
              <w:t>说   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restart"/>
            <w:vAlign w:val="center"/>
          </w:tcPr>
          <w:p>
            <w:pPr>
              <w:jc w:val="center"/>
              <w:rPr>
                <w:rFonts w:ascii="仿宋_GB2312" w:hAnsi="仿宋" w:eastAsia="仿宋_GB2312"/>
                <w:sz w:val="24"/>
              </w:rPr>
            </w:pPr>
            <w:r>
              <w:rPr>
                <w:rFonts w:hint="eastAsia" w:ascii="仿宋_GB2312" w:hAnsi="仿宋" w:eastAsia="仿宋_GB2312"/>
                <w:sz w:val="24"/>
              </w:rPr>
              <w:t>省(部)级科研成果获奖</w:t>
            </w:r>
          </w:p>
        </w:tc>
        <w:tc>
          <w:tcPr>
            <w:tcW w:w="1145" w:type="dxa"/>
            <w:vMerge w:val="restart"/>
            <w:vAlign w:val="center"/>
          </w:tcPr>
          <w:p>
            <w:pPr>
              <w:jc w:val="center"/>
              <w:rPr>
                <w:rFonts w:ascii="仿宋_GB2312" w:hAnsi="仿宋" w:eastAsia="仿宋_GB2312"/>
                <w:sz w:val="24"/>
              </w:rPr>
            </w:pPr>
            <w:r>
              <w:rPr>
                <w:rFonts w:hint="eastAsia" w:ascii="仿宋_GB2312" w:hAnsi="仿宋" w:eastAsia="仿宋_GB2312"/>
                <w:sz w:val="24"/>
              </w:rPr>
              <w:t>一</w:t>
            </w: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120</w:t>
            </w:r>
          </w:p>
        </w:tc>
        <w:tc>
          <w:tcPr>
            <w:tcW w:w="2331" w:type="dxa"/>
            <w:vMerge w:val="restart"/>
          </w:tcPr>
          <w:p>
            <w:pPr>
              <w:spacing w:line="440" w:lineRule="exact"/>
              <w:ind w:firstLine="420" w:firstLineChars="200"/>
              <w:rPr>
                <w:rFonts w:ascii="仿宋_GB2312" w:hAnsi="仿宋" w:eastAsia="仿宋_GB2312"/>
                <w:szCs w:val="21"/>
              </w:rPr>
            </w:pPr>
            <w:r>
              <w:rPr>
                <w:rFonts w:hint="eastAsia" w:ascii="仿宋_GB2312" w:hAnsi="仿宋" w:eastAsia="仿宋_GB2312"/>
                <w:szCs w:val="21"/>
              </w:rPr>
              <w:t>1、同一科研成果多次获奖，取最高分计，不累加。</w:t>
            </w:r>
          </w:p>
          <w:p>
            <w:pPr>
              <w:spacing w:line="440" w:lineRule="exact"/>
              <w:ind w:firstLine="420" w:firstLineChars="200"/>
              <w:rPr>
                <w:rFonts w:ascii="仿宋_GB2312" w:hAnsi="仿宋" w:eastAsia="仿宋_GB2312"/>
                <w:szCs w:val="21"/>
              </w:rPr>
            </w:pPr>
            <w:r>
              <w:rPr>
                <w:rFonts w:hint="eastAsia" w:ascii="仿宋_GB2312" w:hAnsi="仿宋" w:eastAsia="仿宋_GB2312"/>
                <w:szCs w:val="21"/>
              </w:rPr>
              <w:t>2、国家级科研成果奖励参照省(部)级奖励计分乘2。</w:t>
            </w:r>
          </w:p>
          <w:p>
            <w:pPr>
              <w:spacing w:line="440" w:lineRule="exact"/>
              <w:ind w:firstLine="315" w:firstLineChars="150"/>
              <w:rPr>
                <w:rFonts w:ascii="仿宋_GB2312" w:hAnsi="仿宋" w:eastAsia="仿宋_GB2312"/>
                <w:szCs w:val="21"/>
              </w:rPr>
            </w:pPr>
            <w:r>
              <w:rPr>
                <w:rFonts w:hint="eastAsia" w:ascii="仿宋_GB2312" w:hAnsi="仿宋" w:eastAsia="仿宋_GB2312"/>
                <w:szCs w:val="21"/>
              </w:rPr>
              <w:t>3、市级及行业科研成果奖励参照省(部)级奖励计分乘0.7。</w:t>
            </w:r>
          </w:p>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2—4</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90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5—7</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70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7名以后</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restart"/>
            <w:vAlign w:val="center"/>
          </w:tcPr>
          <w:p>
            <w:pPr>
              <w:jc w:val="center"/>
              <w:rPr>
                <w:rFonts w:ascii="仿宋_GB2312" w:hAnsi="仿宋" w:eastAsia="仿宋_GB2312"/>
                <w:sz w:val="24"/>
              </w:rPr>
            </w:pPr>
            <w:r>
              <w:rPr>
                <w:rFonts w:hint="eastAsia" w:ascii="仿宋_GB2312" w:hAnsi="仿宋" w:eastAsia="仿宋_GB2312"/>
                <w:sz w:val="24"/>
              </w:rPr>
              <w:t>二</w:t>
            </w: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80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2—4</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60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5—7</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40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7名以后</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restart"/>
            <w:vAlign w:val="center"/>
          </w:tcPr>
          <w:p>
            <w:pPr>
              <w:jc w:val="center"/>
              <w:rPr>
                <w:rFonts w:ascii="仿宋_GB2312" w:hAnsi="仿宋" w:eastAsia="仿宋_GB2312"/>
                <w:sz w:val="24"/>
              </w:rPr>
            </w:pPr>
            <w:r>
              <w:rPr>
                <w:rFonts w:hint="eastAsia" w:ascii="仿宋_GB2312" w:hAnsi="仿宋" w:eastAsia="仿宋_GB2312"/>
                <w:sz w:val="24"/>
              </w:rPr>
              <w:t>三</w:t>
            </w: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40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2—4</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30</w:t>
            </w:r>
          </w:p>
        </w:tc>
        <w:tc>
          <w:tcPr>
            <w:tcW w:w="2331" w:type="dxa"/>
            <w:vMerge w:val="continue"/>
          </w:tcPr>
          <w:p>
            <w:pPr>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771" w:type="dxa"/>
            <w:vMerge w:val="continue"/>
            <w:vAlign w:val="center"/>
          </w:tcPr>
          <w:p>
            <w:pPr>
              <w:jc w:val="center"/>
              <w:rPr>
                <w:rFonts w:ascii="仿宋_GB2312" w:hAnsi="仿宋" w:eastAsia="仿宋_GB2312"/>
                <w:b/>
                <w:sz w:val="24"/>
              </w:rPr>
            </w:pPr>
          </w:p>
        </w:tc>
        <w:tc>
          <w:tcPr>
            <w:tcW w:w="1145" w:type="dxa"/>
            <w:vMerge w:val="continue"/>
            <w:vAlign w:val="center"/>
          </w:tcPr>
          <w:p>
            <w:pPr>
              <w:jc w:val="center"/>
              <w:rPr>
                <w:rFonts w:ascii="仿宋_GB2312" w:hAnsi="仿宋" w:eastAsia="仿宋_GB2312"/>
                <w:sz w:val="24"/>
              </w:rPr>
            </w:pPr>
          </w:p>
        </w:tc>
        <w:tc>
          <w:tcPr>
            <w:tcW w:w="1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5—7</w:t>
            </w:r>
          </w:p>
        </w:tc>
        <w:tc>
          <w:tcPr>
            <w:tcW w:w="1987"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25</w:t>
            </w:r>
          </w:p>
        </w:tc>
        <w:tc>
          <w:tcPr>
            <w:tcW w:w="2331" w:type="dxa"/>
            <w:vMerge w:val="continue"/>
          </w:tcPr>
          <w:p>
            <w:pPr>
              <w:spacing w:line="300" w:lineRule="auto"/>
              <w:rPr>
                <w:rFonts w:ascii="仿宋" w:hAnsi="仿宋" w:eastAsia="仿宋"/>
                <w:sz w:val="24"/>
              </w:rPr>
            </w:pPr>
          </w:p>
        </w:tc>
      </w:tr>
      <w:bookmarkEnd w:id="0"/>
      <w:bookmarkEnd w:id="1"/>
    </w:tbl>
    <w:p>
      <w:pPr>
        <w:spacing w:before="156" w:beforeLines="50" w:after="156" w:afterLines="50"/>
        <w:rPr>
          <w:rFonts w:ascii="黑体" w:hAnsi="黑体" w:eastAsia="黑体"/>
          <w:sz w:val="30"/>
          <w:szCs w:val="30"/>
        </w:rPr>
      </w:pPr>
      <w:r>
        <w:rPr>
          <w:rFonts w:hint="eastAsia" w:ascii="黑体" w:hAnsi="黑体" w:eastAsia="黑体"/>
          <w:sz w:val="30"/>
          <w:szCs w:val="30"/>
        </w:rPr>
        <w:t>三、专利、论文及著作计分标准</w:t>
      </w:r>
    </w:p>
    <w:tbl>
      <w:tblPr>
        <w:tblStyle w:val="4"/>
        <w:tblW w:w="953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2"/>
        <w:gridCol w:w="732"/>
        <w:gridCol w:w="2184"/>
        <w:gridCol w:w="2047"/>
        <w:gridCol w:w="1392"/>
        <w:gridCol w:w="26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512" w:type="dxa"/>
            <w:tcBorders>
              <w:bottom w:val="single" w:color="auto" w:sz="4" w:space="0"/>
              <w:right w:val="single" w:color="auto" w:sz="4" w:space="0"/>
            </w:tcBorders>
            <w:vAlign w:val="center"/>
          </w:tcPr>
          <w:p>
            <w:pPr>
              <w:spacing w:line="240" w:lineRule="atLeast"/>
              <w:jc w:val="center"/>
              <w:rPr>
                <w:rFonts w:ascii="黑体" w:hAnsi="黑体" w:eastAsia="黑体"/>
                <w:sz w:val="24"/>
              </w:rPr>
            </w:pPr>
          </w:p>
        </w:tc>
        <w:tc>
          <w:tcPr>
            <w:tcW w:w="732" w:type="dxa"/>
            <w:tcBorders>
              <w:bottom w:val="single" w:color="auto" w:sz="4" w:space="0"/>
              <w:right w:val="single" w:color="auto" w:sz="4" w:space="0"/>
            </w:tcBorders>
            <w:vAlign w:val="center"/>
          </w:tcPr>
          <w:p>
            <w:pPr>
              <w:spacing w:line="300" w:lineRule="exact"/>
              <w:jc w:val="center"/>
              <w:rPr>
                <w:rFonts w:ascii="黑体" w:hAnsi="黑体" w:eastAsia="黑体"/>
                <w:sz w:val="24"/>
              </w:rPr>
            </w:pPr>
            <w:r>
              <w:rPr>
                <w:rFonts w:hint="eastAsia" w:ascii="黑体" w:hAnsi="黑体" w:eastAsia="黑体"/>
                <w:sz w:val="24"/>
              </w:rPr>
              <w:t>等级</w:t>
            </w:r>
          </w:p>
        </w:tc>
        <w:tc>
          <w:tcPr>
            <w:tcW w:w="4231" w:type="dxa"/>
            <w:gridSpan w:val="2"/>
            <w:tcBorders>
              <w:left w:val="single" w:color="auto" w:sz="4" w:space="0"/>
              <w:bottom w:val="single" w:color="auto" w:sz="4" w:space="0"/>
            </w:tcBorders>
            <w:vAlign w:val="center"/>
          </w:tcPr>
          <w:p>
            <w:pPr>
              <w:spacing w:line="300" w:lineRule="exact"/>
              <w:jc w:val="center"/>
              <w:rPr>
                <w:rFonts w:ascii="黑体" w:hAnsi="黑体" w:eastAsia="黑体"/>
                <w:sz w:val="24"/>
              </w:rPr>
            </w:pPr>
            <w:r>
              <w:rPr>
                <w:rFonts w:hint="eastAsia" w:ascii="黑体" w:hAnsi="黑体" w:eastAsia="黑体"/>
                <w:sz w:val="24"/>
              </w:rPr>
              <w:t>项</w:t>
            </w:r>
            <w:r>
              <w:rPr>
                <w:rFonts w:ascii="黑体" w:hAnsi="黑体" w:eastAsia="黑体"/>
                <w:sz w:val="24"/>
              </w:rPr>
              <w:t xml:space="preserve">   </w:t>
            </w:r>
            <w:r>
              <w:rPr>
                <w:rFonts w:hint="eastAsia" w:ascii="黑体" w:hAnsi="黑体" w:eastAsia="黑体"/>
                <w:sz w:val="24"/>
              </w:rPr>
              <w:t>目</w:t>
            </w:r>
          </w:p>
        </w:tc>
        <w:tc>
          <w:tcPr>
            <w:tcW w:w="1392" w:type="dxa"/>
            <w:vAlign w:val="center"/>
          </w:tcPr>
          <w:p>
            <w:pPr>
              <w:spacing w:line="300" w:lineRule="exact"/>
              <w:jc w:val="center"/>
              <w:rPr>
                <w:rFonts w:ascii="黑体" w:hAnsi="黑体" w:eastAsia="黑体"/>
                <w:sz w:val="24"/>
              </w:rPr>
            </w:pPr>
            <w:r>
              <w:rPr>
                <w:rFonts w:hint="eastAsia" w:ascii="黑体" w:hAnsi="黑体" w:eastAsia="黑体"/>
                <w:sz w:val="24"/>
              </w:rPr>
              <w:t>计</w:t>
            </w:r>
            <w:r>
              <w:rPr>
                <w:rFonts w:ascii="黑体" w:hAnsi="黑体" w:eastAsia="黑体"/>
                <w:sz w:val="24"/>
              </w:rPr>
              <w:t xml:space="preserve"> </w:t>
            </w:r>
            <w:r>
              <w:rPr>
                <w:rFonts w:hint="eastAsia" w:ascii="黑体" w:hAnsi="黑体" w:eastAsia="黑体"/>
                <w:sz w:val="24"/>
              </w:rPr>
              <w:t>分</w:t>
            </w:r>
          </w:p>
          <w:p>
            <w:pPr>
              <w:spacing w:line="300" w:lineRule="exact"/>
              <w:jc w:val="center"/>
              <w:rPr>
                <w:rFonts w:ascii="黑体" w:hAnsi="黑体" w:eastAsia="黑体"/>
                <w:sz w:val="24"/>
              </w:rPr>
            </w:pPr>
            <w:r>
              <w:rPr>
                <w:rFonts w:ascii="黑体" w:hAnsi="黑体" w:eastAsia="黑体"/>
                <w:sz w:val="24"/>
              </w:rPr>
              <w:t>(</w:t>
            </w:r>
            <w:r>
              <w:rPr>
                <w:rFonts w:hint="eastAsia" w:ascii="黑体" w:hAnsi="黑体" w:eastAsia="黑体"/>
                <w:sz w:val="24"/>
              </w:rPr>
              <w:t>分</w:t>
            </w:r>
            <w:r>
              <w:rPr>
                <w:rFonts w:ascii="黑体" w:hAnsi="黑体" w:eastAsia="黑体"/>
                <w:sz w:val="24"/>
              </w:rPr>
              <w:t>/</w:t>
            </w:r>
            <w:r>
              <w:rPr>
                <w:rFonts w:hint="eastAsia" w:ascii="黑体" w:hAnsi="黑体" w:eastAsia="黑体"/>
                <w:sz w:val="24"/>
              </w:rPr>
              <w:t>篇</w:t>
            </w:r>
            <w:r>
              <w:rPr>
                <w:rFonts w:ascii="黑体" w:hAnsi="黑体" w:eastAsia="黑体"/>
                <w:sz w:val="24"/>
              </w:rPr>
              <w:t>)</w:t>
            </w:r>
          </w:p>
        </w:tc>
        <w:tc>
          <w:tcPr>
            <w:tcW w:w="2670" w:type="dxa"/>
            <w:vAlign w:val="center"/>
          </w:tcPr>
          <w:p>
            <w:pPr>
              <w:spacing w:line="300" w:lineRule="exact"/>
              <w:jc w:val="center"/>
              <w:rPr>
                <w:rFonts w:ascii="黑体" w:hAnsi="黑体" w:eastAsia="黑体"/>
                <w:sz w:val="24"/>
              </w:rPr>
            </w:pPr>
            <w:r>
              <w:rPr>
                <w:rFonts w:hint="eastAsia" w:ascii="黑体" w:hAnsi="黑体" w:eastAsia="黑体"/>
                <w:sz w:val="24"/>
              </w:rPr>
              <w:t>说</w:t>
            </w:r>
            <w:r>
              <w:rPr>
                <w:rFonts w:ascii="黑体" w:hAnsi="黑体" w:eastAsia="黑体"/>
                <w:sz w:val="24"/>
              </w:rPr>
              <w:t xml:space="preserve">   </w:t>
            </w:r>
            <w:r>
              <w:rPr>
                <w:rFonts w:hint="eastAsia" w:ascii="黑体" w:hAnsi="黑体" w:eastAsia="黑体"/>
                <w:sz w:val="24"/>
              </w:rPr>
              <w:t>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55" w:hRule="exact"/>
        </w:trPr>
        <w:tc>
          <w:tcPr>
            <w:tcW w:w="512" w:type="dxa"/>
            <w:vMerge w:val="restart"/>
            <w:tcBorders>
              <w:top w:val="single" w:color="auto" w:sz="4" w:space="0"/>
            </w:tcBorders>
            <w:vAlign w:val="center"/>
          </w:tcPr>
          <w:p>
            <w:pPr>
              <w:widowControl/>
              <w:spacing w:line="400" w:lineRule="exact"/>
              <w:jc w:val="center"/>
              <w:rPr>
                <w:rFonts w:ascii="仿宋" w:hAnsi="仿宋" w:eastAsia="仿宋"/>
                <w:b/>
                <w:sz w:val="24"/>
              </w:rPr>
            </w:pPr>
            <w:r>
              <w:rPr>
                <w:rFonts w:hint="eastAsia" w:ascii="仿宋" w:hAnsi="仿宋" w:eastAsia="仿宋"/>
                <w:b/>
                <w:sz w:val="24"/>
              </w:rPr>
              <w:t>科</w:t>
            </w:r>
          </w:p>
          <w:p>
            <w:pPr>
              <w:widowControl/>
              <w:spacing w:line="400" w:lineRule="exact"/>
              <w:jc w:val="center"/>
              <w:rPr>
                <w:rFonts w:ascii="仿宋" w:hAnsi="仿宋" w:eastAsia="仿宋"/>
                <w:b/>
                <w:sz w:val="24"/>
              </w:rPr>
            </w:pPr>
            <w:r>
              <w:rPr>
                <w:rFonts w:hint="eastAsia" w:ascii="仿宋" w:hAnsi="仿宋" w:eastAsia="仿宋"/>
                <w:b/>
                <w:sz w:val="24"/>
              </w:rPr>
              <w:t>研</w:t>
            </w:r>
          </w:p>
          <w:p>
            <w:pPr>
              <w:widowControl/>
              <w:spacing w:line="400" w:lineRule="exact"/>
              <w:jc w:val="center"/>
              <w:rPr>
                <w:rFonts w:ascii="仿宋" w:hAnsi="仿宋" w:eastAsia="仿宋"/>
                <w:b/>
                <w:sz w:val="24"/>
              </w:rPr>
            </w:pPr>
            <w:r>
              <w:rPr>
                <w:rFonts w:hint="eastAsia" w:ascii="仿宋" w:hAnsi="仿宋" w:eastAsia="仿宋"/>
                <w:b/>
                <w:sz w:val="24"/>
              </w:rPr>
              <w:t>论</w:t>
            </w:r>
          </w:p>
          <w:p>
            <w:pPr>
              <w:widowControl/>
              <w:spacing w:line="400" w:lineRule="exact"/>
              <w:jc w:val="center"/>
              <w:rPr>
                <w:rFonts w:ascii="仿宋" w:hAnsi="仿宋" w:eastAsia="仿宋"/>
                <w:b/>
                <w:sz w:val="24"/>
              </w:rPr>
            </w:pPr>
            <w:r>
              <w:rPr>
                <w:rFonts w:hint="eastAsia" w:ascii="仿宋" w:hAnsi="仿宋" w:eastAsia="仿宋"/>
                <w:b/>
                <w:sz w:val="24"/>
              </w:rPr>
              <w:t>文</w:t>
            </w:r>
          </w:p>
          <w:p>
            <w:pPr>
              <w:widowControl/>
              <w:spacing w:line="400" w:lineRule="exact"/>
              <w:jc w:val="center"/>
              <w:rPr>
                <w:rFonts w:ascii="仿宋" w:hAnsi="仿宋" w:eastAsia="仿宋"/>
                <w:b/>
                <w:sz w:val="24"/>
              </w:rPr>
            </w:pPr>
            <w:r>
              <w:rPr>
                <w:rFonts w:hint="eastAsia" w:ascii="仿宋" w:hAnsi="仿宋" w:eastAsia="仿宋"/>
                <w:b/>
                <w:sz w:val="24"/>
              </w:rPr>
              <w:t>类</w:t>
            </w:r>
          </w:p>
          <w:p>
            <w:pPr>
              <w:widowControl/>
              <w:spacing w:line="400" w:lineRule="exact"/>
              <w:jc w:val="center"/>
              <w:rPr>
                <w:rFonts w:ascii="仿宋" w:hAnsi="仿宋" w:eastAsia="仿宋"/>
                <w:b/>
                <w:sz w:val="24"/>
              </w:rPr>
            </w:pPr>
            <w:r>
              <w:rPr>
                <w:rFonts w:hint="eastAsia" w:ascii="仿宋" w:hAnsi="仿宋" w:eastAsia="仿宋"/>
                <w:b/>
                <w:sz w:val="24"/>
              </w:rPr>
              <w:t>计</w:t>
            </w:r>
          </w:p>
          <w:p>
            <w:pPr>
              <w:spacing w:line="400" w:lineRule="exact"/>
              <w:jc w:val="center"/>
              <w:rPr>
                <w:rFonts w:ascii="仿宋" w:hAnsi="仿宋" w:eastAsia="仿宋"/>
                <w:sz w:val="24"/>
              </w:rPr>
            </w:pPr>
            <w:r>
              <w:rPr>
                <w:rFonts w:hint="eastAsia" w:ascii="仿宋" w:hAnsi="仿宋" w:eastAsia="仿宋"/>
                <w:b/>
                <w:sz w:val="24"/>
              </w:rPr>
              <w:t>分</w:t>
            </w:r>
          </w:p>
        </w:tc>
        <w:tc>
          <w:tcPr>
            <w:tcW w:w="732" w:type="dxa"/>
            <w:vMerge w:val="restart"/>
            <w:vAlign w:val="center"/>
          </w:tcPr>
          <w:p>
            <w:pPr>
              <w:spacing w:line="300" w:lineRule="exact"/>
              <w:jc w:val="center"/>
              <w:rPr>
                <w:rFonts w:ascii="仿宋_GB2312" w:hAnsi="仿宋" w:eastAsia="仿宋_GB2312"/>
                <w:sz w:val="24"/>
              </w:rPr>
            </w:pPr>
            <w:r>
              <w:rPr>
                <w:rFonts w:hint="eastAsia" w:ascii="仿宋_GB2312" w:hAnsi="仿宋" w:eastAsia="仿宋_GB2312"/>
                <w:sz w:val="24"/>
              </w:rPr>
              <w:t>A</w:t>
            </w: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在国际著名学术刊物(Science、Nature)发表的学术论文</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200分/篇</w:t>
            </w:r>
          </w:p>
        </w:tc>
        <w:tc>
          <w:tcPr>
            <w:tcW w:w="2670" w:type="dxa"/>
            <w:vMerge w:val="restart"/>
            <w:tcMar>
              <w:top w:w="57" w:type="dxa"/>
            </w:tcMar>
            <w:vAlign w:val="center"/>
          </w:tcPr>
          <w:p>
            <w:pPr>
              <w:numPr>
                <w:ilvl w:val="0"/>
                <w:numId w:val="1"/>
              </w:numPr>
              <w:spacing w:line="240" w:lineRule="exact"/>
              <w:rPr>
                <w:rFonts w:hint="eastAsia" w:ascii="仿宋_GB2312" w:hAnsi="仿宋" w:eastAsia="仿宋_GB2312"/>
                <w:color w:val="auto"/>
                <w:szCs w:val="21"/>
              </w:rPr>
            </w:pPr>
            <w:r>
              <w:rPr>
                <w:rFonts w:hint="eastAsia" w:ascii="仿宋_GB2312" w:hAnsi="仿宋" w:eastAsia="仿宋_GB2312"/>
                <w:color w:val="auto"/>
                <w:szCs w:val="21"/>
              </w:rPr>
              <w:t>所有成果计分均应有书籍原件证实，否则不得加分。第一作者和评奖人单位应明确为武汉科技大学，否则不加分。</w:t>
            </w:r>
          </w:p>
          <w:p>
            <w:pPr>
              <w:numPr>
                <w:ilvl w:val="0"/>
                <w:numId w:val="0"/>
              </w:numPr>
              <w:spacing w:line="240" w:lineRule="exact"/>
              <w:rPr>
                <w:rFonts w:hint="eastAsia" w:ascii="仿宋_GB2312" w:hAnsi="仿宋" w:eastAsia="仿宋_GB2312"/>
                <w:color w:val="auto"/>
                <w:szCs w:val="21"/>
              </w:rPr>
            </w:pPr>
          </w:p>
          <w:p>
            <w:pPr>
              <w:numPr>
                <w:ilvl w:val="0"/>
                <w:numId w:val="1"/>
              </w:numPr>
              <w:spacing w:line="240" w:lineRule="exact"/>
              <w:ind w:left="0" w:leftChars="0" w:firstLine="0" w:firstLineChars="0"/>
              <w:rPr>
                <w:rFonts w:hint="eastAsia" w:ascii="仿宋_GB2312" w:hAnsi="仿宋" w:eastAsia="仿宋_GB2312"/>
                <w:color w:val="auto"/>
                <w:szCs w:val="21"/>
              </w:rPr>
            </w:pPr>
            <w:r>
              <w:rPr>
                <w:rFonts w:hint="eastAsia" w:ascii="仿宋_GB2312" w:hAnsi="仿宋" w:eastAsia="仿宋_GB2312"/>
                <w:color w:val="auto"/>
                <w:szCs w:val="21"/>
              </w:rPr>
              <w:t>同一论文被不同刊物收录(转载)，按最高级别计分，不累加。</w:t>
            </w:r>
          </w:p>
          <w:p>
            <w:pPr>
              <w:numPr>
                <w:ilvl w:val="0"/>
                <w:numId w:val="0"/>
              </w:numPr>
              <w:spacing w:line="240" w:lineRule="exact"/>
              <w:ind w:leftChars="0"/>
              <w:rPr>
                <w:rFonts w:ascii="仿宋_GB2312" w:hAnsi="仿宋" w:eastAsia="仿宋_GB2312"/>
                <w:color w:val="auto"/>
                <w:szCs w:val="21"/>
              </w:rPr>
            </w:pPr>
            <w:r>
              <w:rPr>
                <w:rFonts w:hint="eastAsia" w:ascii="仿宋_GB2312" w:hAnsi="仿宋" w:eastAsia="仿宋_GB2312"/>
                <w:color w:val="auto"/>
                <w:szCs w:val="21"/>
              </w:rPr>
              <w:br w:type="textWrapping"/>
            </w:r>
            <w:r>
              <w:rPr>
                <w:rFonts w:hint="eastAsia" w:ascii="仿宋_GB2312" w:hAnsi="仿宋" w:eastAsia="仿宋_GB2312"/>
                <w:color w:val="auto"/>
                <w:szCs w:val="21"/>
              </w:rPr>
              <w:t>3、若研究生为第二作者，其导师为第一作者，视研究生为第一作者</w:t>
            </w:r>
            <w:r>
              <w:rPr>
                <w:rFonts w:hint="eastAsia" w:ascii="仿宋_GB2312" w:hAnsi="仿宋" w:eastAsia="仿宋_GB2312"/>
                <w:color w:val="auto"/>
                <w:szCs w:val="21"/>
                <w:lang w:eastAsia="zh-CN"/>
              </w:rPr>
              <w:t>。</w:t>
            </w:r>
            <w:r>
              <w:rPr>
                <w:rFonts w:hint="eastAsia" w:ascii="仿宋_GB2312" w:hAnsi="仿宋" w:eastAsia="仿宋_GB2312"/>
                <w:color w:val="auto"/>
                <w:szCs w:val="21"/>
              </w:rPr>
              <w:t>若研究生与教师共同第一作者，视研究生为第一作者</w:t>
            </w:r>
            <w:r>
              <w:rPr>
                <w:rFonts w:hint="eastAsia" w:ascii="仿宋_GB2312" w:hAnsi="仿宋" w:eastAsia="仿宋_GB2312"/>
                <w:color w:val="auto"/>
                <w:szCs w:val="21"/>
                <w:lang w:eastAsia="zh-CN"/>
              </w:rPr>
              <w:t>。</w:t>
            </w:r>
            <w:r>
              <w:rPr>
                <w:rFonts w:hint="eastAsia" w:ascii="仿宋_GB2312" w:hAnsi="仿宋" w:eastAsia="仿宋_GB2312"/>
                <w:color w:val="auto"/>
                <w:szCs w:val="21"/>
                <w:lang w:val="en-US" w:eastAsia="zh-CN"/>
              </w:rPr>
              <w:t>若多位</w:t>
            </w:r>
            <w:r>
              <w:rPr>
                <w:rFonts w:hint="eastAsia" w:ascii="仿宋_GB2312" w:hAnsi="仿宋" w:eastAsia="仿宋_GB2312"/>
                <w:color w:val="auto"/>
                <w:szCs w:val="21"/>
              </w:rPr>
              <w:t>研究生作者</w:t>
            </w:r>
            <w:r>
              <w:rPr>
                <w:rFonts w:hint="eastAsia" w:ascii="仿宋_GB2312" w:hAnsi="仿宋" w:eastAsia="仿宋_GB2312"/>
                <w:color w:val="auto"/>
                <w:szCs w:val="21"/>
                <w:lang w:val="en-US" w:eastAsia="zh-CN"/>
              </w:rPr>
              <w:t>为</w:t>
            </w:r>
            <w:r>
              <w:rPr>
                <w:rFonts w:hint="eastAsia" w:ascii="仿宋_GB2312" w:hAnsi="仿宋" w:eastAsia="仿宋_GB2312"/>
                <w:color w:val="auto"/>
                <w:szCs w:val="21"/>
              </w:rPr>
              <w:t>共同第一</w:t>
            </w:r>
            <w:r>
              <w:rPr>
                <w:rFonts w:hint="eastAsia" w:ascii="仿宋_GB2312" w:hAnsi="仿宋" w:eastAsia="仿宋_GB2312"/>
                <w:color w:val="auto"/>
                <w:szCs w:val="21"/>
                <w:lang w:val="en-US" w:eastAsia="zh-CN"/>
              </w:rPr>
              <w:t>作者</w:t>
            </w:r>
            <w:r>
              <w:rPr>
                <w:rFonts w:hint="eastAsia" w:ascii="仿宋_GB2312" w:hAnsi="仿宋" w:eastAsia="仿宋_GB2312"/>
                <w:color w:val="auto"/>
                <w:szCs w:val="21"/>
              </w:rPr>
              <w:t>的，按照6/4（两个学生</w:t>
            </w:r>
            <w:r>
              <w:rPr>
                <w:rFonts w:hint="eastAsia" w:ascii="仿宋_GB2312" w:hAnsi="仿宋" w:eastAsia="仿宋_GB2312"/>
                <w:color w:val="auto"/>
                <w:szCs w:val="21"/>
                <w:lang w:val="en-US" w:eastAsia="zh-CN"/>
              </w:rPr>
              <w:t>前后排序</w:t>
            </w:r>
            <w:r>
              <w:rPr>
                <w:rFonts w:hint="eastAsia" w:ascii="仿宋_GB2312" w:hAnsi="仿宋" w:eastAsia="仿宋_GB2312"/>
                <w:color w:val="auto"/>
                <w:szCs w:val="21"/>
              </w:rPr>
              <w:t>）</w:t>
            </w:r>
            <w:r>
              <w:rPr>
                <w:rFonts w:hint="eastAsia" w:ascii="仿宋_GB2312" w:hAnsi="仿宋" w:eastAsia="仿宋_GB2312"/>
                <w:color w:val="auto"/>
                <w:szCs w:val="21"/>
                <w:lang w:eastAsia="zh-CN"/>
              </w:rPr>
              <w:t>、</w:t>
            </w:r>
            <w:r>
              <w:rPr>
                <w:rFonts w:hint="eastAsia" w:ascii="仿宋_GB2312" w:hAnsi="仿宋" w:eastAsia="仿宋_GB2312"/>
                <w:color w:val="auto"/>
                <w:szCs w:val="21"/>
              </w:rPr>
              <w:t>4/3/3（三个学生</w:t>
            </w:r>
            <w:r>
              <w:rPr>
                <w:rFonts w:hint="eastAsia" w:ascii="仿宋_GB2312" w:hAnsi="仿宋" w:eastAsia="仿宋_GB2312"/>
                <w:color w:val="auto"/>
                <w:szCs w:val="21"/>
                <w:lang w:val="en-US" w:eastAsia="zh-CN"/>
              </w:rPr>
              <w:t>前后排序</w:t>
            </w:r>
            <w:r>
              <w:rPr>
                <w:rFonts w:hint="eastAsia" w:ascii="仿宋_GB2312" w:hAnsi="仿宋" w:eastAsia="仿宋_GB2312"/>
                <w:color w:val="auto"/>
                <w:szCs w:val="21"/>
              </w:rPr>
              <w:t>）比例</w:t>
            </w:r>
            <w:r>
              <w:rPr>
                <w:rFonts w:hint="eastAsia" w:ascii="仿宋_GB2312" w:hAnsi="仿宋" w:eastAsia="仿宋_GB2312"/>
                <w:color w:val="auto"/>
                <w:szCs w:val="21"/>
                <w:lang w:val="en-US" w:eastAsia="zh-CN"/>
              </w:rPr>
              <w:t>加分。</w:t>
            </w:r>
          </w:p>
          <w:p>
            <w:pPr>
              <w:spacing w:line="240" w:lineRule="exact"/>
              <w:rPr>
                <w:rFonts w:hint="eastAsia" w:ascii="仿宋_GB2312" w:hAnsi="仿宋" w:eastAsia="仿宋_GB2312"/>
                <w:color w:val="auto"/>
                <w:szCs w:val="21"/>
              </w:rPr>
            </w:pPr>
            <w:r>
              <w:rPr>
                <w:rFonts w:hint="eastAsia" w:ascii="仿宋_GB2312" w:hAnsi="仿宋" w:eastAsia="仿宋_GB2312"/>
                <w:color w:val="auto"/>
                <w:szCs w:val="21"/>
              </w:rPr>
              <w:t>但此类论文计分，最多计算2篇，且第1篇按照得分的100%计分，第2篇按照得分的50%计分。</w:t>
            </w:r>
          </w:p>
          <w:p>
            <w:pPr>
              <w:spacing w:line="240" w:lineRule="exact"/>
              <w:rPr>
                <w:rFonts w:hint="eastAsia" w:ascii="仿宋_GB2312" w:hAnsi="仿宋" w:eastAsia="仿宋_GB2312"/>
                <w:color w:val="auto"/>
                <w:szCs w:val="21"/>
              </w:rPr>
            </w:pPr>
          </w:p>
          <w:p>
            <w:pPr>
              <w:numPr>
                <w:ilvl w:val="0"/>
                <w:numId w:val="0"/>
              </w:numPr>
              <w:spacing w:line="240" w:lineRule="exact"/>
              <w:ind w:leftChars="0"/>
              <w:rPr>
                <w:rFonts w:hint="eastAsia" w:ascii="仿宋_GB2312" w:hAnsi="仿宋" w:eastAsia="仿宋_GB2312"/>
                <w:color w:val="auto"/>
                <w:szCs w:val="21"/>
              </w:rPr>
            </w:pPr>
            <w:r>
              <w:rPr>
                <w:rFonts w:hint="eastAsia" w:ascii="仿宋_GB2312" w:hAnsi="仿宋" w:eastAsia="仿宋_GB2312"/>
                <w:color w:val="auto"/>
                <w:szCs w:val="21"/>
                <w:lang w:val="en-US" w:eastAsia="zh-CN"/>
              </w:rPr>
              <w:t>4、</w:t>
            </w:r>
            <w:r>
              <w:rPr>
                <w:rFonts w:hint="eastAsia" w:ascii="仿宋_GB2312" w:hAnsi="仿宋" w:eastAsia="仿宋_GB2312"/>
                <w:color w:val="auto"/>
                <w:szCs w:val="21"/>
              </w:rPr>
              <w:t>B类论文中SCI四区计30分，SCI 三区计60分，二区计90分，一区计120分。D类档次论文计分时，总篇数不能超过3篇。</w:t>
            </w:r>
          </w:p>
          <w:p>
            <w:pPr>
              <w:numPr>
                <w:ilvl w:val="0"/>
                <w:numId w:val="0"/>
              </w:numPr>
              <w:spacing w:line="240" w:lineRule="exact"/>
              <w:ind w:leftChars="0"/>
              <w:rPr>
                <w:rFonts w:ascii="仿宋_GB2312" w:hAnsi="仿宋" w:eastAsia="仿宋_GB2312"/>
                <w:color w:val="auto"/>
                <w:szCs w:val="21"/>
              </w:rPr>
            </w:pPr>
            <w:r>
              <w:rPr>
                <w:rFonts w:hint="eastAsia" w:ascii="仿宋_GB2312" w:hAnsi="仿宋" w:eastAsia="仿宋_GB2312"/>
                <w:color w:val="auto"/>
                <w:szCs w:val="21"/>
              </w:rPr>
              <w:br w:type="textWrapping"/>
            </w:r>
            <w:r>
              <w:rPr>
                <w:rFonts w:hint="eastAsia" w:ascii="仿宋_GB2312" w:hAnsi="仿宋" w:eastAsia="仿宋_GB2312"/>
                <w:color w:val="auto"/>
                <w:szCs w:val="21"/>
                <w:lang w:val="en-US" w:eastAsia="zh-CN"/>
              </w:rPr>
              <w:t>5</w:t>
            </w:r>
            <w:r>
              <w:rPr>
                <w:rFonts w:hint="eastAsia" w:ascii="仿宋_GB2312" w:hAnsi="仿宋" w:eastAsia="仿宋_GB2312"/>
                <w:color w:val="auto"/>
                <w:szCs w:val="21"/>
              </w:rPr>
              <w:t>、参加编著、翻译学术著作2万字以上按学校相关科研工作量计算方法执行。</w:t>
            </w:r>
          </w:p>
          <w:p>
            <w:pPr>
              <w:spacing w:line="200" w:lineRule="exact"/>
              <w:jc w:val="center"/>
              <w:rPr>
                <w:rFonts w:ascii="仿宋_GB2312" w:hAnsi="仿宋" w:eastAsia="仿宋_GB2312"/>
                <w:sz w:val="18"/>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2" w:hRule="exact"/>
        </w:trPr>
        <w:tc>
          <w:tcPr>
            <w:tcW w:w="512" w:type="dxa"/>
            <w:vMerge w:val="continue"/>
            <w:tcBorders>
              <w:top w:val="single" w:color="auto" w:sz="4" w:space="0"/>
            </w:tcBorders>
          </w:tcPr>
          <w:p>
            <w:pPr>
              <w:widowControl/>
              <w:spacing w:line="500" w:lineRule="exact"/>
              <w:jc w:val="center"/>
              <w:rPr>
                <w:sz w:val="24"/>
              </w:rPr>
            </w:pPr>
          </w:p>
        </w:tc>
        <w:tc>
          <w:tcPr>
            <w:tcW w:w="732" w:type="dxa"/>
            <w:vMerge w:val="continue"/>
            <w:vAlign w:val="center"/>
          </w:tcPr>
          <w:p>
            <w:pPr>
              <w:spacing w:line="300" w:lineRule="exact"/>
              <w:jc w:val="center"/>
              <w:rPr>
                <w:rFonts w:ascii="仿宋_GB2312" w:hAnsi="仿宋" w:eastAsia="仿宋_GB2312"/>
                <w:sz w:val="24"/>
              </w:rPr>
            </w:pP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在《中国社会科学》、《求是》等顶尖人文社科期刊发表的学术论文</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90分/篇</w:t>
            </w:r>
          </w:p>
        </w:tc>
        <w:tc>
          <w:tcPr>
            <w:tcW w:w="2670" w:type="dxa"/>
            <w:vMerge w:val="continue"/>
            <w:tcMar>
              <w:top w:w="57" w:type="dxa"/>
            </w:tcMar>
          </w:tcPr>
          <w:p>
            <w:pPr>
              <w:spacing w:line="5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17" w:hRule="atLeast"/>
        </w:trPr>
        <w:tc>
          <w:tcPr>
            <w:tcW w:w="512" w:type="dxa"/>
            <w:vMerge w:val="continue"/>
            <w:tcBorders>
              <w:top w:val="single" w:color="auto" w:sz="4" w:space="0"/>
            </w:tcBorders>
          </w:tcPr>
          <w:p>
            <w:pPr>
              <w:widowControl/>
              <w:spacing w:line="500" w:lineRule="exact"/>
              <w:jc w:val="center"/>
              <w:rPr>
                <w:sz w:val="24"/>
              </w:rPr>
            </w:pPr>
          </w:p>
        </w:tc>
        <w:tc>
          <w:tcPr>
            <w:tcW w:w="732" w:type="dxa"/>
            <w:vMerge w:val="restart"/>
            <w:vAlign w:val="center"/>
          </w:tcPr>
          <w:p>
            <w:pPr>
              <w:spacing w:line="300" w:lineRule="exact"/>
              <w:jc w:val="center"/>
              <w:rPr>
                <w:rFonts w:ascii="仿宋_GB2312" w:hAnsi="仿宋" w:eastAsia="仿宋_GB2312"/>
                <w:sz w:val="24"/>
              </w:rPr>
            </w:pPr>
            <w:r>
              <w:rPr>
                <w:rFonts w:hint="eastAsia" w:ascii="仿宋_GB2312" w:hAnsi="仿宋" w:eastAsia="仿宋_GB2312"/>
                <w:sz w:val="24"/>
              </w:rPr>
              <w:t>B</w:t>
            </w: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被SCI收录</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按区计分</w:t>
            </w:r>
          </w:p>
        </w:tc>
        <w:tc>
          <w:tcPr>
            <w:tcW w:w="2670" w:type="dxa"/>
            <w:vMerge w:val="continue"/>
            <w:tcMar>
              <w:top w:w="57" w:type="dxa"/>
            </w:tcMar>
          </w:tcPr>
          <w:p>
            <w:pPr>
              <w:spacing w:line="5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8" w:hRule="atLeast"/>
        </w:trPr>
        <w:tc>
          <w:tcPr>
            <w:tcW w:w="512" w:type="dxa"/>
            <w:vMerge w:val="continue"/>
            <w:tcBorders>
              <w:top w:val="single" w:color="auto" w:sz="4" w:space="0"/>
            </w:tcBorders>
          </w:tcPr>
          <w:p>
            <w:pPr>
              <w:widowControl/>
              <w:spacing w:line="500" w:lineRule="exact"/>
              <w:jc w:val="center"/>
              <w:rPr>
                <w:sz w:val="24"/>
              </w:rPr>
            </w:pPr>
          </w:p>
        </w:tc>
        <w:tc>
          <w:tcPr>
            <w:tcW w:w="732" w:type="dxa"/>
            <w:vMerge w:val="continue"/>
            <w:vAlign w:val="center"/>
          </w:tcPr>
          <w:p>
            <w:pPr>
              <w:spacing w:line="300" w:lineRule="exact"/>
              <w:jc w:val="center"/>
              <w:rPr>
                <w:rFonts w:ascii="仿宋_GB2312" w:hAnsi="仿宋" w:eastAsia="仿宋_GB2312"/>
                <w:sz w:val="24"/>
              </w:rPr>
            </w:pP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被SSCI 、AHCI收录，《中国社会科学文摘》或《新华文摘》全文转载</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30分/篇</w:t>
            </w:r>
          </w:p>
        </w:tc>
        <w:tc>
          <w:tcPr>
            <w:tcW w:w="2670" w:type="dxa"/>
            <w:vMerge w:val="continue"/>
            <w:tcMar>
              <w:top w:w="57" w:type="dxa"/>
            </w:tcMar>
          </w:tcPr>
          <w:p>
            <w:pPr>
              <w:spacing w:line="5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1" w:hRule="atLeast"/>
        </w:trPr>
        <w:tc>
          <w:tcPr>
            <w:tcW w:w="512" w:type="dxa"/>
            <w:vMerge w:val="continue"/>
            <w:tcBorders>
              <w:top w:val="single" w:color="auto" w:sz="4" w:space="0"/>
            </w:tcBorders>
          </w:tcPr>
          <w:p>
            <w:pPr>
              <w:spacing w:line="500" w:lineRule="exact"/>
              <w:jc w:val="left"/>
              <w:rPr>
                <w:sz w:val="24"/>
              </w:rPr>
            </w:pPr>
          </w:p>
        </w:tc>
        <w:tc>
          <w:tcPr>
            <w:tcW w:w="73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C</w:t>
            </w: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在国家权威期刊发表的学术论文，被EI、MEDLINE收录或《人大复印资料》全文转载</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sz w:val="24"/>
                <w:lang w:val="en-US" w:eastAsia="zh-CN"/>
              </w:rPr>
              <w:t>0</w:t>
            </w:r>
            <w:r>
              <w:rPr>
                <w:rFonts w:hint="eastAsia" w:ascii="仿宋_GB2312" w:hAnsi="仿宋" w:eastAsia="仿宋_GB2312"/>
                <w:sz w:val="24"/>
              </w:rPr>
              <w:t>分/篇</w:t>
            </w:r>
          </w:p>
        </w:tc>
        <w:tc>
          <w:tcPr>
            <w:tcW w:w="2670" w:type="dxa"/>
            <w:vMerge w:val="continue"/>
          </w:tcPr>
          <w:p>
            <w:pPr>
              <w:spacing w:line="300" w:lineRule="exact"/>
              <w:rPr>
                <w:rFonts w:ascii="仿宋_GB2312" w:hAnsi="仿宋"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8" w:hRule="atLeast"/>
        </w:trPr>
        <w:tc>
          <w:tcPr>
            <w:tcW w:w="512" w:type="dxa"/>
            <w:vMerge w:val="continue"/>
            <w:tcBorders>
              <w:top w:val="single" w:color="auto" w:sz="4" w:space="0"/>
            </w:tcBorders>
          </w:tcPr>
          <w:p>
            <w:pPr>
              <w:spacing w:line="500" w:lineRule="exact"/>
              <w:jc w:val="left"/>
              <w:rPr>
                <w:sz w:val="24"/>
              </w:rPr>
            </w:pPr>
          </w:p>
        </w:tc>
        <w:tc>
          <w:tcPr>
            <w:tcW w:w="73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D</w:t>
            </w:r>
          </w:p>
        </w:tc>
        <w:tc>
          <w:tcPr>
            <w:tcW w:w="4231" w:type="dxa"/>
            <w:gridSpan w:val="2"/>
            <w:tcMar>
              <w:top w:w="57" w:type="dxa"/>
              <w:bottom w:w="28" w:type="dxa"/>
            </w:tcMar>
            <w:vAlign w:val="center"/>
          </w:tcPr>
          <w:p>
            <w:pPr>
              <w:spacing w:line="300" w:lineRule="exact"/>
              <w:rPr>
                <w:rFonts w:ascii="仿宋_GB2312" w:hAnsi="仿宋" w:eastAsia="仿宋_GB2312"/>
                <w:sz w:val="24"/>
              </w:rPr>
            </w:pPr>
            <w:r>
              <w:rPr>
                <w:rFonts w:hint="eastAsia" w:ascii="仿宋_GB2312" w:hAnsi="仿宋" w:eastAsia="仿宋_GB2312"/>
                <w:sz w:val="24"/>
              </w:rPr>
              <w:t>在中文核心期刊发表的学术论文或在国际性学术会议上宣读并被CPCI收录的论文</w:t>
            </w:r>
          </w:p>
        </w:tc>
        <w:tc>
          <w:tcPr>
            <w:tcW w:w="1392" w:type="dxa"/>
            <w:vAlign w:val="center"/>
          </w:tcPr>
          <w:p>
            <w:pPr>
              <w:spacing w:line="500" w:lineRule="exact"/>
              <w:jc w:val="center"/>
              <w:rPr>
                <w:rFonts w:ascii="仿宋_GB2312" w:hAnsi="仿宋" w:eastAsia="仿宋_GB2312"/>
                <w:sz w:val="24"/>
              </w:rPr>
            </w:pPr>
            <w:r>
              <w:rPr>
                <w:rFonts w:hint="eastAsia" w:ascii="仿宋_GB2312" w:hAnsi="仿宋" w:eastAsia="仿宋_GB2312"/>
                <w:sz w:val="24"/>
              </w:rPr>
              <w:t>15分/篇</w:t>
            </w:r>
          </w:p>
        </w:tc>
        <w:tc>
          <w:tcPr>
            <w:tcW w:w="2670" w:type="dxa"/>
            <w:vMerge w:val="continue"/>
          </w:tcPr>
          <w:p>
            <w:pPr>
              <w:spacing w:line="500" w:lineRule="exact"/>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6" w:hRule="exact"/>
        </w:trPr>
        <w:tc>
          <w:tcPr>
            <w:tcW w:w="512" w:type="dxa"/>
            <w:vMerge w:val="continue"/>
            <w:tcBorders>
              <w:top w:val="single" w:color="auto" w:sz="4" w:space="0"/>
            </w:tcBorders>
          </w:tcPr>
          <w:p>
            <w:pPr>
              <w:spacing w:line="500" w:lineRule="exact"/>
              <w:jc w:val="left"/>
              <w:rPr>
                <w:sz w:val="24"/>
              </w:rPr>
            </w:pPr>
          </w:p>
        </w:tc>
        <w:tc>
          <w:tcPr>
            <w:tcW w:w="732" w:type="dxa"/>
          </w:tcPr>
          <w:p>
            <w:pPr>
              <w:spacing w:line="300" w:lineRule="exact"/>
              <w:rPr>
                <w:rFonts w:ascii="仿宋_GB2312" w:hAnsi="仿宋" w:eastAsia="仿宋_GB2312"/>
                <w:sz w:val="24"/>
              </w:rPr>
            </w:pPr>
          </w:p>
        </w:tc>
        <w:tc>
          <w:tcPr>
            <w:tcW w:w="4231" w:type="dxa"/>
            <w:gridSpan w:val="2"/>
            <w:vAlign w:val="center"/>
          </w:tcPr>
          <w:p>
            <w:pPr>
              <w:spacing w:line="300" w:lineRule="exact"/>
              <w:rPr>
                <w:rFonts w:ascii="仿宋_GB2312" w:hAnsi="仿宋" w:eastAsia="仿宋_GB2312"/>
                <w:sz w:val="24"/>
              </w:rPr>
            </w:pPr>
            <w:r>
              <w:rPr>
                <w:rFonts w:hint="eastAsia" w:ascii="仿宋_GB2312" w:hAnsi="仿宋" w:eastAsia="仿宋_GB2312"/>
                <w:sz w:val="24"/>
              </w:rPr>
              <w:t>参加编著、翻译学术著作达2万字以上</w:t>
            </w:r>
          </w:p>
        </w:tc>
        <w:tc>
          <w:tcPr>
            <w:tcW w:w="1392" w:type="dxa"/>
            <w:vAlign w:val="center"/>
          </w:tcPr>
          <w:p>
            <w:pPr>
              <w:spacing w:line="500" w:lineRule="exact"/>
              <w:jc w:val="center"/>
              <w:rPr>
                <w:rFonts w:ascii="仿宋_GB2312" w:hAnsi="仿宋" w:eastAsia="仿宋_GB2312"/>
                <w:sz w:val="24"/>
              </w:rPr>
            </w:pPr>
            <w:r>
              <w:rPr>
                <w:rFonts w:hint="eastAsia" w:ascii="仿宋_GB2312" w:hAnsi="仿宋" w:eastAsia="仿宋_GB2312"/>
                <w:sz w:val="24"/>
              </w:rPr>
              <w:t>5分/部</w:t>
            </w:r>
          </w:p>
        </w:tc>
        <w:tc>
          <w:tcPr>
            <w:tcW w:w="2670" w:type="dxa"/>
            <w:vMerge w:val="continue"/>
          </w:tcPr>
          <w:p>
            <w:pPr>
              <w:spacing w:line="500" w:lineRule="exact"/>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5" w:hRule="atLeast"/>
        </w:trPr>
        <w:tc>
          <w:tcPr>
            <w:tcW w:w="512" w:type="dxa"/>
            <w:vMerge w:val="restart"/>
            <w:vAlign w:val="center"/>
          </w:tcPr>
          <w:p>
            <w:pPr>
              <w:widowControl/>
              <w:spacing w:line="400" w:lineRule="exact"/>
              <w:jc w:val="center"/>
              <w:rPr>
                <w:color w:val="000000"/>
                <w:sz w:val="24"/>
              </w:rPr>
            </w:pPr>
            <w:r>
              <w:rPr>
                <w:rFonts w:hint="eastAsia" w:ascii="仿宋" w:hAnsi="仿宋" w:eastAsia="仿宋"/>
                <w:b/>
                <w:color w:val="000000"/>
                <w:sz w:val="24"/>
              </w:rPr>
              <w:t>专利类和软件著作权计分</w:t>
            </w:r>
          </w:p>
        </w:tc>
        <w:tc>
          <w:tcPr>
            <w:tcW w:w="2916" w:type="dxa"/>
            <w:gridSpan w:val="2"/>
            <w:tcBorders>
              <w:righ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等级</w:t>
            </w:r>
          </w:p>
        </w:tc>
        <w:tc>
          <w:tcPr>
            <w:tcW w:w="2047" w:type="dxa"/>
            <w:tcBorders>
              <w:lef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作者排名顺序</w:t>
            </w:r>
          </w:p>
        </w:tc>
        <w:tc>
          <w:tcPr>
            <w:tcW w:w="1392" w:type="dxa"/>
            <w:vAlign w:val="center"/>
          </w:tcPr>
          <w:p>
            <w:pPr>
              <w:spacing w:line="300" w:lineRule="exact"/>
              <w:jc w:val="center"/>
              <w:rPr>
                <w:rFonts w:ascii="仿宋_GB2312" w:hAnsi="仿宋" w:eastAsia="仿宋_GB2312"/>
                <w:sz w:val="24"/>
              </w:rPr>
            </w:pPr>
            <w:r>
              <w:rPr>
                <w:rFonts w:hint="eastAsia" w:ascii="仿宋_GB2312" w:hAnsi="仿宋" w:eastAsia="仿宋_GB2312"/>
                <w:sz w:val="24"/>
              </w:rPr>
              <w:t>计分</w:t>
            </w:r>
          </w:p>
          <w:p>
            <w:pPr>
              <w:spacing w:line="300" w:lineRule="exact"/>
              <w:jc w:val="center"/>
              <w:rPr>
                <w:rFonts w:ascii="仿宋_GB2312" w:hAnsi="黑体" w:eastAsia="仿宋_GB2312"/>
                <w:sz w:val="24"/>
              </w:rPr>
            </w:pPr>
            <w:r>
              <w:rPr>
                <w:rFonts w:hint="eastAsia" w:ascii="仿宋_GB2312" w:hAnsi="仿宋" w:eastAsia="仿宋_GB2312"/>
                <w:sz w:val="24"/>
              </w:rPr>
              <w:t>(分/项)</w:t>
            </w:r>
          </w:p>
        </w:tc>
        <w:tc>
          <w:tcPr>
            <w:tcW w:w="2670" w:type="dxa"/>
            <w:vMerge w:val="restart"/>
            <w:vAlign w:val="center"/>
          </w:tcPr>
          <w:p>
            <w:pPr>
              <w:spacing w:line="240" w:lineRule="exact"/>
              <w:rPr>
                <w:rFonts w:ascii="仿宋_GB2312" w:hAnsi="仿宋" w:eastAsia="仿宋_GB2312"/>
                <w:szCs w:val="21"/>
              </w:rPr>
            </w:pPr>
            <w:r>
              <w:rPr>
                <w:rFonts w:hint="eastAsia" w:ascii="仿宋_GB2312" w:hAnsi="仿宋" w:eastAsia="仿宋_GB2312"/>
                <w:szCs w:val="21"/>
              </w:rPr>
              <w:t>1、获国家发明专利成果应有专利证书(或专利授权号)，若该专利获得其他科研奖励者，以最高分计，不累加。</w:t>
            </w:r>
          </w:p>
          <w:p>
            <w:pPr>
              <w:spacing w:line="240" w:lineRule="exact"/>
              <w:rPr>
                <w:rFonts w:ascii="仿宋_GB2312" w:hAnsi="仿宋" w:eastAsia="仿宋_GB2312"/>
                <w:szCs w:val="21"/>
              </w:rPr>
            </w:pPr>
            <w:r>
              <w:rPr>
                <w:rFonts w:hint="eastAsia" w:ascii="仿宋_GB2312" w:hAnsi="仿宋" w:eastAsia="仿宋_GB2312"/>
                <w:szCs w:val="21"/>
              </w:rPr>
              <w:t>2、以名称相同或相近的项目申报实用新型专利授权和发明专利受理的加分只可取其中一项加分。</w:t>
            </w:r>
          </w:p>
          <w:p>
            <w:pPr>
              <w:spacing w:line="240" w:lineRule="exact"/>
              <w:rPr>
                <w:rFonts w:ascii="仿宋_GB2312" w:hAnsi="仿宋" w:eastAsia="仿宋_GB2312"/>
                <w:szCs w:val="21"/>
              </w:rPr>
            </w:pPr>
            <w:r>
              <w:rPr>
                <w:rFonts w:hint="eastAsia" w:ascii="仿宋_GB2312" w:hAnsi="仿宋" w:eastAsia="仿宋_GB2312"/>
                <w:szCs w:val="21"/>
              </w:rPr>
              <w:t>3、发明专利受理至授权每项最多可计30分，不可重复计分。</w:t>
            </w:r>
          </w:p>
          <w:p>
            <w:pPr>
              <w:spacing w:line="240" w:lineRule="exact"/>
              <w:rPr>
                <w:rFonts w:ascii="仿宋_GB2312" w:hAnsi="仿宋" w:eastAsia="仿宋_GB2312"/>
                <w:szCs w:val="21"/>
              </w:rPr>
            </w:pPr>
            <w:r>
              <w:rPr>
                <w:rFonts w:hint="eastAsia" w:ascii="仿宋_GB2312" w:hAnsi="仿宋" w:eastAsia="仿宋_GB2312"/>
                <w:szCs w:val="21"/>
              </w:rPr>
              <w:t>4、发明专利导师为第一申请人，研究生为第二申请人的最多计5项。</w:t>
            </w:r>
          </w:p>
          <w:p>
            <w:pPr>
              <w:spacing w:line="300" w:lineRule="exact"/>
              <w:jc w:val="left"/>
              <w:rPr>
                <w:rFonts w:ascii="仿宋_GB2312" w:hAnsi="仿宋" w:eastAsia="仿宋_GB2312"/>
                <w:sz w:val="18"/>
                <w:szCs w:val="18"/>
              </w:rPr>
            </w:pPr>
            <w:r>
              <w:rPr>
                <w:rFonts w:hint="eastAsia" w:ascii="仿宋_GB2312" w:hAnsi="仿宋" w:eastAsia="仿宋_GB2312"/>
                <w:szCs w:val="21"/>
              </w:rPr>
              <w:t>5、除发明专利外其他专利最多计算2项。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7" w:hRule="exact"/>
        </w:trPr>
        <w:tc>
          <w:tcPr>
            <w:tcW w:w="512" w:type="dxa"/>
            <w:vMerge w:val="continue"/>
          </w:tcPr>
          <w:p>
            <w:pPr>
              <w:spacing w:line="500" w:lineRule="exact"/>
              <w:jc w:val="left"/>
              <w:rPr>
                <w:sz w:val="24"/>
              </w:rPr>
            </w:pPr>
          </w:p>
        </w:tc>
        <w:tc>
          <w:tcPr>
            <w:tcW w:w="2916" w:type="dxa"/>
            <w:gridSpan w:val="2"/>
            <w:vMerge w:val="restart"/>
            <w:tcBorders>
              <w:righ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发明专利</w:t>
            </w: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30</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7" w:hRule="exact"/>
        </w:trPr>
        <w:tc>
          <w:tcPr>
            <w:tcW w:w="512" w:type="dxa"/>
            <w:vMerge w:val="continue"/>
          </w:tcPr>
          <w:p>
            <w:pPr>
              <w:spacing w:line="500" w:lineRule="exact"/>
              <w:jc w:val="left"/>
              <w:rPr>
                <w:sz w:val="24"/>
              </w:rPr>
            </w:pPr>
          </w:p>
        </w:tc>
        <w:tc>
          <w:tcPr>
            <w:tcW w:w="2916" w:type="dxa"/>
            <w:gridSpan w:val="2"/>
            <w:vMerge w:val="continue"/>
            <w:tcBorders>
              <w:right w:val="single" w:color="auto" w:sz="4" w:space="0"/>
            </w:tcBorders>
            <w:vAlign w:val="center"/>
          </w:tcPr>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2</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20</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7" w:hRule="exact"/>
        </w:trPr>
        <w:tc>
          <w:tcPr>
            <w:tcW w:w="512" w:type="dxa"/>
            <w:vMerge w:val="continue"/>
          </w:tcPr>
          <w:p>
            <w:pPr>
              <w:spacing w:line="500" w:lineRule="exact"/>
              <w:jc w:val="left"/>
              <w:rPr>
                <w:sz w:val="24"/>
              </w:rPr>
            </w:pPr>
          </w:p>
        </w:tc>
        <w:tc>
          <w:tcPr>
            <w:tcW w:w="2916" w:type="dxa"/>
            <w:gridSpan w:val="2"/>
            <w:vMerge w:val="continue"/>
            <w:tcBorders>
              <w:right w:val="single" w:color="auto" w:sz="4" w:space="0"/>
            </w:tcBorders>
            <w:vAlign w:val="center"/>
          </w:tcPr>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申报获受理</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10</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1" w:hRule="atLeast"/>
        </w:trPr>
        <w:tc>
          <w:tcPr>
            <w:tcW w:w="512" w:type="dxa"/>
            <w:vMerge w:val="continue"/>
          </w:tcPr>
          <w:p>
            <w:pPr>
              <w:spacing w:line="500" w:lineRule="exact"/>
              <w:jc w:val="left"/>
              <w:rPr>
                <w:sz w:val="24"/>
              </w:rPr>
            </w:pPr>
          </w:p>
        </w:tc>
        <w:tc>
          <w:tcPr>
            <w:tcW w:w="2916" w:type="dxa"/>
            <w:gridSpan w:val="2"/>
            <w:vMerge w:val="restart"/>
            <w:tcBorders>
              <w:right w:val="single" w:color="auto" w:sz="4" w:space="0"/>
            </w:tcBorders>
            <w:vAlign w:val="center"/>
          </w:tcPr>
          <w:p>
            <w:pPr>
              <w:spacing w:line="300" w:lineRule="exact"/>
              <w:jc w:val="center"/>
              <w:rPr>
                <w:rFonts w:ascii="仿宋_GB2312" w:hAnsi="仿宋" w:eastAsia="仿宋_GB2312"/>
                <w:sz w:val="24"/>
              </w:rPr>
            </w:pPr>
            <w:r>
              <w:rPr>
                <w:rFonts w:hint="eastAsia" w:ascii="仿宋_GB2312" w:hAnsi="仿宋" w:eastAsia="仿宋_GB2312"/>
                <w:sz w:val="24"/>
              </w:rPr>
              <w:t>实用新型专利、</w:t>
            </w:r>
          </w:p>
          <w:p>
            <w:pPr>
              <w:spacing w:line="300" w:lineRule="exact"/>
              <w:jc w:val="center"/>
              <w:rPr>
                <w:rFonts w:ascii="仿宋_GB2312" w:hAnsi="仿宋" w:eastAsia="仿宋_GB2312"/>
                <w:sz w:val="24"/>
              </w:rPr>
            </w:pPr>
            <w:r>
              <w:rPr>
                <w:rFonts w:hint="eastAsia" w:ascii="仿宋_GB2312" w:hAnsi="仿宋" w:eastAsia="仿宋_GB2312"/>
                <w:sz w:val="24"/>
              </w:rPr>
              <w:t>外观设计专利授权、</w:t>
            </w:r>
          </w:p>
          <w:p>
            <w:pPr>
              <w:spacing w:line="300" w:lineRule="exact"/>
              <w:jc w:val="center"/>
              <w:rPr>
                <w:rFonts w:ascii="仿宋_GB2312" w:hAnsi="仿宋" w:eastAsia="仿宋_GB2312"/>
                <w:sz w:val="24"/>
              </w:rPr>
            </w:pPr>
            <w:r>
              <w:rPr>
                <w:rFonts w:hint="eastAsia" w:ascii="仿宋_GB2312" w:hAnsi="仿宋" w:eastAsia="仿宋_GB2312"/>
                <w:sz w:val="24"/>
              </w:rPr>
              <w:t>软件著作权</w:t>
            </w:r>
          </w:p>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6</w:t>
            </w:r>
          </w:p>
        </w:tc>
        <w:tc>
          <w:tcPr>
            <w:tcW w:w="2670" w:type="dxa"/>
            <w:vMerge w:val="continue"/>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9" w:hRule="atLeast"/>
        </w:trPr>
        <w:tc>
          <w:tcPr>
            <w:tcW w:w="512" w:type="dxa"/>
            <w:vMerge w:val="continue"/>
          </w:tcPr>
          <w:p>
            <w:pPr>
              <w:spacing w:line="500" w:lineRule="exact"/>
              <w:jc w:val="left"/>
              <w:rPr>
                <w:sz w:val="24"/>
              </w:rPr>
            </w:pPr>
          </w:p>
        </w:tc>
        <w:tc>
          <w:tcPr>
            <w:tcW w:w="2916" w:type="dxa"/>
            <w:gridSpan w:val="2"/>
            <w:vMerge w:val="continue"/>
            <w:tcBorders>
              <w:right w:val="single" w:color="auto" w:sz="4" w:space="0"/>
            </w:tcBorders>
            <w:vAlign w:val="center"/>
          </w:tcPr>
          <w:p>
            <w:pPr>
              <w:spacing w:line="300" w:lineRule="exact"/>
              <w:jc w:val="center"/>
              <w:rPr>
                <w:rFonts w:ascii="仿宋_GB2312" w:hAnsi="仿宋" w:eastAsia="仿宋_GB2312"/>
                <w:sz w:val="24"/>
              </w:rPr>
            </w:pPr>
          </w:p>
        </w:tc>
        <w:tc>
          <w:tcPr>
            <w:tcW w:w="2047" w:type="dxa"/>
            <w:tcBorders>
              <w:left w:val="single" w:color="auto" w:sz="4" w:space="0"/>
            </w:tcBorders>
            <w:vAlign w:val="center"/>
          </w:tcPr>
          <w:p>
            <w:pPr>
              <w:spacing w:line="240" w:lineRule="exact"/>
              <w:jc w:val="center"/>
              <w:rPr>
                <w:rFonts w:ascii="仿宋_GB2312" w:hAnsi="仿宋" w:eastAsia="仿宋_GB2312"/>
                <w:sz w:val="24"/>
              </w:rPr>
            </w:pPr>
            <w:r>
              <w:rPr>
                <w:rFonts w:hint="eastAsia" w:ascii="仿宋_GB2312" w:hAnsi="仿宋" w:eastAsia="仿宋_GB2312"/>
                <w:sz w:val="24"/>
              </w:rPr>
              <w:t>2</w:t>
            </w:r>
          </w:p>
        </w:tc>
        <w:tc>
          <w:tcPr>
            <w:tcW w:w="1392"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w:t>
            </w:r>
          </w:p>
        </w:tc>
        <w:tc>
          <w:tcPr>
            <w:tcW w:w="2670" w:type="dxa"/>
            <w:vMerge w:val="continue"/>
          </w:tcPr>
          <w:p>
            <w:pPr>
              <w:spacing w:line="500" w:lineRule="exact"/>
              <w:rPr>
                <w:szCs w:val="21"/>
              </w:rPr>
            </w:pPr>
          </w:p>
        </w:tc>
      </w:tr>
    </w:tbl>
    <w:p>
      <w:pPr>
        <w:spacing w:before="156" w:beforeLines="50" w:after="156" w:afterLines="50"/>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t>（总分相同时，其科研成果根据期刊影响因子因素按等级排序。）</w:t>
      </w:r>
    </w:p>
    <w:p>
      <w:pPr>
        <w:spacing w:before="156" w:beforeLines="50" w:after="156" w:afterLines="50"/>
        <w:ind w:firstLine="600" w:firstLineChars="200"/>
        <w:rPr>
          <w:rFonts w:ascii="黑体" w:hAnsi="黑体" w:eastAsia="黑体"/>
          <w:color w:val="auto"/>
          <w:sz w:val="30"/>
          <w:szCs w:val="30"/>
        </w:rPr>
      </w:pPr>
      <w:r>
        <w:rPr>
          <w:rFonts w:hint="eastAsia" w:ascii="黑体" w:hAnsi="黑体" w:eastAsia="黑体"/>
          <w:color w:val="auto"/>
          <w:sz w:val="30"/>
          <w:szCs w:val="30"/>
        </w:rPr>
        <w:t>四、社会工作及获奖计分标准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(一) 思想政治优秀获奖计分标准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获得国家级表彰计30分，获得省级表彰计20分，</w:t>
      </w:r>
      <w:r>
        <w:rPr>
          <w:rFonts w:hint="eastAsia" w:ascii="仿宋_GB2312" w:eastAsia="仿宋_GB2312"/>
          <w:color w:val="auto"/>
          <w:sz w:val="30"/>
          <w:szCs w:val="30"/>
          <w:lang w:val="en-US" w:eastAsia="zh-CN"/>
        </w:rPr>
        <w:t>获得校级表彰的计分不超过6分，</w:t>
      </w:r>
      <w:r>
        <w:rPr>
          <w:rFonts w:hint="eastAsia" w:ascii="仿宋_GB2312" w:eastAsia="仿宋_GB2312"/>
          <w:color w:val="auto"/>
          <w:sz w:val="30"/>
          <w:szCs w:val="30"/>
        </w:rPr>
        <w:t>得分不累计。</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参加学校、学院或班级统一组织的思政教育活动出席率达100%，计5分。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(二) 社会工作职务计分标准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在校期间担任学校、学院或班级学生干部（含助管），根据担任的职务及工作表现情况适当给予加分，但最高不超过6分。</w:t>
      </w:r>
    </w:p>
    <w:tbl>
      <w:tblPr>
        <w:tblStyle w:val="4"/>
        <w:tblW w:w="7762"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3004"/>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line="240" w:lineRule="atLeast"/>
              <w:jc w:val="center"/>
              <w:rPr>
                <w:rFonts w:hint="eastAsia" w:ascii="黑体" w:hAnsi="黑体" w:eastAsia="黑体"/>
                <w:color w:val="auto"/>
                <w:sz w:val="24"/>
              </w:rPr>
            </w:pPr>
            <w:r>
              <w:rPr>
                <w:rFonts w:hint="eastAsia" w:ascii="黑体" w:hAnsi="黑体" w:eastAsia="黑体"/>
                <w:color w:val="auto"/>
                <w:sz w:val="24"/>
              </w:rPr>
              <w:t>工作层面</w:t>
            </w:r>
          </w:p>
        </w:tc>
        <w:tc>
          <w:tcPr>
            <w:tcW w:w="3004" w:type="dxa"/>
            <w:noWrap w:val="0"/>
            <w:vAlign w:val="center"/>
          </w:tcPr>
          <w:p>
            <w:pPr>
              <w:spacing w:before="156" w:beforeLines="50" w:line="240" w:lineRule="atLeast"/>
              <w:jc w:val="center"/>
              <w:rPr>
                <w:rFonts w:hint="eastAsia" w:ascii="黑体" w:hAnsi="黑体" w:eastAsia="黑体"/>
                <w:color w:val="auto"/>
                <w:sz w:val="24"/>
              </w:rPr>
            </w:pPr>
            <w:r>
              <w:rPr>
                <w:rFonts w:hint="eastAsia" w:ascii="黑体" w:hAnsi="黑体" w:eastAsia="黑体"/>
                <w:color w:val="auto"/>
                <w:sz w:val="24"/>
              </w:rPr>
              <w:t>职务</w:t>
            </w:r>
          </w:p>
        </w:tc>
        <w:tc>
          <w:tcPr>
            <w:tcW w:w="2399" w:type="dxa"/>
            <w:noWrap w:val="0"/>
            <w:vAlign w:val="center"/>
          </w:tcPr>
          <w:p>
            <w:pPr>
              <w:spacing w:before="156" w:beforeLines="50" w:line="240" w:lineRule="atLeast"/>
              <w:jc w:val="center"/>
              <w:rPr>
                <w:rFonts w:hint="eastAsia" w:ascii="黑体" w:hAnsi="黑体" w:eastAsia="黑体"/>
                <w:color w:val="auto"/>
                <w:sz w:val="24"/>
              </w:rPr>
            </w:pPr>
            <w:r>
              <w:rPr>
                <w:rFonts w:hint="eastAsia" w:ascii="黑体" w:hAnsi="黑体" w:eastAsia="黑体"/>
                <w:color w:val="auto"/>
                <w:sz w:val="24"/>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班  级</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班长、团支书</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vMerge w:val="restart"/>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党支部</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支部书记</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vMerge w:val="continue"/>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委员</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院（校）研究生会</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主席团成员</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35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学  院</w:t>
            </w:r>
          </w:p>
        </w:tc>
        <w:tc>
          <w:tcPr>
            <w:tcW w:w="3004"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助管</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63" w:type="dxa"/>
            <w:gridSpan w:val="2"/>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lang w:val="en-US" w:eastAsia="zh-CN"/>
              </w:rPr>
            </w:pPr>
            <w:r>
              <w:rPr>
                <w:rFonts w:hint="eastAsia" w:ascii="仿宋" w:hAnsi="仿宋" w:eastAsia="仿宋"/>
                <w:b/>
                <w:color w:val="auto"/>
                <w:szCs w:val="21"/>
              </w:rPr>
              <w:t>学校所授“优秀研究生”、“优秀学生干部”等称号</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b/>
                <w:color w:val="auto"/>
                <w:szCs w:val="21"/>
                <w:lang w:val="en-US" w:eastAsia="zh-CN"/>
              </w:rPr>
            </w:pPr>
            <w:r>
              <w:rPr>
                <w:rFonts w:hint="eastAsia" w:ascii="仿宋" w:hAnsi="仿宋" w:eastAsia="仿宋"/>
                <w:b/>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63" w:type="dxa"/>
            <w:gridSpan w:val="2"/>
            <w:noWrap w:val="0"/>
            <w:vAlign w:val="center"/>
          </w:tcPr>
          <w:p>
            <w:pPr>
              <w:spacing w:before="156" w:beforeLines="50" w:after="100" w:afterAutospacing="1" w:line="400" w:lineRule="exact"/>
              <w:ind w:left="315" w:leftChars="150"/>
              <w:jc w:val="center"/>
              <w:rPr>
                <w:rFonts w:hint="eastAsia" w:ascii="仿宋" w:hAnsi="仿宋" w:eastAsia="仿宋" w:cs="Times New Roman"/>
                <w:b/>
                <w:color w:val="auto"/>
                <w:kern w:val="2"/>
                <w:sz w:val="21"/>
                <w:szCs w:val="21"/>
                <w:lang w:val="en-US" w:eastAsia="zh-CN" w:bidi="ar-SA"/>
              </w:rPr>
            </w:pPr>
            <w:r>
              <w:rPr>
                <w:rFonts w:hint="eastAsia" w:ascii="仿宋" w:hAnsi="仿宋" w:eastAsia="仿宋"/>
                <w:b/>
                <w:color w:val="auto"/>
                <w:szCs w:val="21"/>
              </w:rPr>
              <w:t>学院或校有关部门所授“优秀研究生”、“先进个人”、“优秀学生干部”等称号</w:t>
            </w:r>
          </w:p>
        </w:tc>
        <w:tc>
          <w:tcPr>
            <w:tcW w:w="2399" w:type="dxa"/>
            <w:noWrap w:val="0"/>
            <w:vAlign w:val="center"/>
          </w:tcPr>
          <w:p>
            <w:pPr>
              <w:spacing w:before="156" w:beforeLines="50" w:after="100" w:afterAutospacing="1" w:line="400" w:lineRule="exact"/>
              <w:ind w:left="315" w:leftChars="150"/>
              <w:jc w:val="center"/>
              <w:rPr>
                <w:rFonts w:hint="eastAsia" w:ascii="仿宋" w:hAnsi="仿宋" w:eastAsia="仿宋" w:cs="Times New Roman"/>
                <w:b/>
                <w:color w:val="auto"/>
                <w:kern w:val="2"/>
                <w:sz w:val="21"/>
                <w:szCs w:val="21"/>
                <w:lang w:val="en-US" w:eastAsia="zh-CN" w:bidi="ar-SA"/>
              </w:rPr>
            </w:pPr>
            <w:r>
              <w:rPr>
                <w:rFonts w:hint="eastAsia" w:ascii="仿宋" w:hAnsi="仿宋" w:eastAsia="仿宋"/>
                <w:b/>
                <w:color w:val="auto"/>
                <w:szCs w:val="21"/>
              </w:rPr>
              <w:t>2分</w:t>
            </w:r>
          </w:p>
        </w:tc>
      </w:tr>
    </w:tbl>
    <w:p>
      <w:pPr>
        <w:ind w:firstLine="560" w:firstLineChars="200"/>
        <w:rPr>
          <w:rFonts w:ascii="仿宋_GB2312" w:eastAsia="仿宋_GB2312"/>
          <w:color w:val="auto"/>
          <w:sz w:val="28"/>
          <w:szCs w:val="28"/>
        </w:rPr>
      </w:pPr>
      <w:r>
        <w:rPr>
          <w:rFonts w:hint="eastAsia" w:ascii="仿宋_GB2312" w:eastAsia="仿宋_GB2312"/>
          <w:color w:val="auto"/>
          <w:sz w:val="28"/>
          <w:szCs w:val="28"/>
        </w:rPr>
        <w:t>（上述干部级别加分由奖学金评定委员会成员依据班干部具体工作情况打分，分值在给定范围内。）</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(三) 参加社会实践活动、学术活动等计分标准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社会实践、学术活动获得国家级表彰的计30分，获得省级表彰的计15分，获得校级表彰的计8分</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其他</w:t>
      </w:r>
      <w:r>
        <w:rPr>
          <w:rFonts w:hint="eastAsia" w:ascii="仿宋_GB2312" w:eastAsia="仿宋_GB2312"/>
          <w:color w:val="auto"/>
          <w:sz w:val="30"/>
          <w:szCs w:val="30"/>
        </w:rPr>
        <w:t>参加社会实践、学术及文体活动最高不超过 6 分，得分不累计。</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 四 ） 参加学术科技竞赛获奖计分标准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S</w:t>
      </w:r>
      <w:r>
        <w:rPr>
          <w:rFonts w:hint="eastAsia" w:ascii="仿宋_GB2312" w:eastAsia="仿宋_GB2312"/>
          <w:color w:val="auto"/>
          <w:sz w:val="30"/>
          <w:szCs w:val="30"/>
          <w:lang w:val="en-US" w:eastAsia="zh-CN"/>
        </w:rPr>
        <w:t>=C*K1*K2</w:t>
      </w:r>
      <w:r>
        <w:rPr>
          <w:rFonts w:hint="eastAsia" w:ascii="仿宋_GB2312" w:eastAsia="仿宋_GB2312"/>
          <w:color w:val="auto"/>
          <w:sz w:val="30"/>
          <w:szCs w:val="30"/>
        </w:rPr>
        <w:t>  </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C ：A类60分；B1类40分，B2类20分；C1类12分，C2类10分，C3类8分。</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K</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：一等奖系数为1；二等奖系数为0.8</w:t>
      </w:r>
      <w:r>
        <w:rPr>
          <w:rFonts w:hint="eastAsia" w:ascii="仿宋_GB2312" w:eastAsia="仿宋_GB2312"/>
          <w:color w:val="auto"/>
          <w:sz w:val="30"/>
          <w:szCs w:val="30"/>
          <w:lang w:eastAsia="zh-CN"/>
        </w:rPr>
        <w:t>；</w:t>
      </w:r>
      <w:r>
        <w:rPr>
          <w:rFonts w:hint="eastAsia" w:ascii="仿宋_GB2312" w:eastAsia="仿宋_GB2312"/>
          <w:color w:val="auto"/>
          <w:sz w:val="30"/>
          <w:szCs w:val="30"/>
        </w:rPr>
        <w:t>三等奖系数为0.6；</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其他系数为0.2；</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K</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：排序第 1 系数为1；排序第2-3系数为0.8；排序第4-5</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系数为0.5；</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赛事分类认定参照学校</w:t>
      </w:r>
      <w:r>
        <w:rPr>
          <w:rFonts w:hint="eastAsia" w:ascii="仿宋_GB2312" w:eastAsia="仿宋_GB2312"/>
          <w:color w:val="auto"/>
          <w:sz w:val="30"/>
          <w:szCs w:val="30"/>
          <w:lang w:val="en-US" w:eastAsia="zh-CN"/>
        </w:rPr>
        <w:t>最新</w:t>
      </w:r>
      <w:r>
        <w:rPr>
          <w:rFonts w:hint="eastAsia" w:ascii="仿宋_GB2312" w:eastAsia="仿宋_GB2312"/>
          <w:color w:val="auto"/>
          <w:sz w:val="30"/>
          <w:szCs w:val="30"/>
        </w:rPr>
        <w:t>文件执行</w:t>
      </w:r>
      <w:r>
        <w:rPr>
          <w:rFonts w:hint="eastAsia" w:ascii="仿宋_GB2312" w:eastAsia="仿宋_GB2312"/>
          <w:color w:val="auto"/>
          <w:sz w:val="30"/>
          <w:szCs w:val="30"/>
          <w:lang w:eastAsia="zh-CN"/>
        </w:rPr>
        <w:t>。</w:t>
      </w:r>
      <w:r>
        <w:rPr>
          <w:rFonts w:hint="eastAsia" w:ascii="仿宋_GB2312" w:eastAsia="仿宋_GB2312"/>
          <w:color w:val="auto"/>
          <w:sz w:val="30"/>
          <w:szCs w:val="30"/>
        </w:rPr>
        <w:t>学术科技竞赛获奖最多计 3 项，其他未列入本目录的学科和</w:t>
      </w:r>
      <w:r>
        <w:rPr>
          <w:rFonts w:hint="eastAsia" w:ascii="仿宋_GB2312" w:eastAsia="仿宋_GB2312"/>
          <w:color w:val="auto"/>
          <w:sz w:val="30"/>
          <w:szCs w:val="30"/>
          <w:lang w:val="en-US" w:eastAsia="zh-CN"/>
        </w:rPr>
        <w:t>科</w:t>
      </w:r>
      <w:r>
        <w:rPr>
          <w:rFonts w:hint="eastAsia" w:ascii="仿宋_GB2312" w:eastAsia="仿宋_GB2312"/>
          <w:color w:val="auto"/>
          <w:sz w:val="30"/>
          <w:szCs w:val="30"/>
        </w:rPr>
        <w:t>技竞赛项目由学校、各培养单位研究生国家奖学金评审领导小组根据实际情况进行认定。</w:t>
      </w:r>
    </w:p>
    <w:p>
      <w:pPr>
        <w:pStyle w:val="8"/>
        <w:numPr>
          <w:ilvl w:val="0"/>
          <w:numId w:val="2"/>
        </w:numPr>
        <w:spacing w:before="312" w:beforeLines="100" w:after="156" w:afterLines="50"/>
        <w:ind w:firstLine="0" w:firstLineChars="0"/>
        <w:jc w:val="left"/>
        <w:rPr>
          <w:rFonts w:hint="eastAsia" w:ascii="黑体" w:hAnsi="黑体" w:eastAsia="黑体"/>
          <w:color w:val="auto"/>
          <w:sz w:val="30"/>
          <w:szCs w:val="30"/>
        </w:rPr>
      </w:pPr>
      <w:r>
        <w:rPr>
          <w:rFonts w:hint="eastAsia" w:ascii="黑体" w:hAnsi="黑体" w:eastAsia="黑体"/>
          <w:color w:val="auto"/>
          <w:sz w:val="30"/>
          <w:szCs w:val="30"/>
        </w:rPr>
        <w:t>本计分标准由生命科学与健康学院研究生奖学金</w:t>
      </w:r>
      <w:r>
        <w:rPr>
          <w:rFonts w:hint="eastAsia" w:ascii="黑体" w:hAnsi="黑体" w:eastAsia="黑体"/>
          <w:color w:val="auto"/>
          <w:sz w:val="30"/>
          <w:szCs w:val="30"/>
          <w:lang w:val="en-US" w:eastAsia="zh-CN"/>
        </w:rPr>
        <w:t>评定</w:t>
      </w:r>
      <w:r>
        <w:rPr>
          <w:rFonts w:hint="eastAsia" w:ascii="黑体" w:hAnsi="黑体" w:eastAsia="黑体"/>
          <w:color w:val="auto"/>
          <w:sz w:val="30"/>
          <w:szCs w:val="30"/>
        </w:rPr>
        <w:t>领导小组负责解释。</w:t>
      </w:r>
    </w:p>
    <w:p>
      <w:pPr>
        <w:pStyle w:val="8"/>
        <w:numPr>
          <w:numId w:val="0"/>
        </w:numPr>
        <w:spacing w:before="312" w:beforeLines="100" w:after="156" w:afterLines="50"/>
        <w:jc w:val="left"/>
        <w:rPr>
          <w:rFonts w:hint="eastAsia" w:ascii="黑体" w:hAnsi="黑体" w:eastAsia="黑体"/>
          <w:color w:val="auto"/>
          <w:sz w:val="30"/>
          <w:szCs w:val="30"/>
        </w:rPr>
      </w:pPr>
    </w:p>
    <w:p>
      <w:pPr>
        <w:ind w:firstLine="600" w:firstLineChars="200"/>
        <w:jc w:val="right"/>
        <w:rPr>
          <w:rFonts w:hint="eastAsia" w:ascii="Times New Roman" w:hAnsi="Times New Roman" w:eastAsia="仿宋_GB2312" w:cs="黑体"/>
          <w:kern w:val="0"/>
          <w:sz w:val="30"/>
          <w:szCs w:val="30"/>
          <w:lang w:val="en-US" w:eastAsia="zh-CN"/>
        </w:rPr>
      </w:pPr>
      <w:r>
        <w:rPr>
          <w:rFonts w:hint="eastAsia" w:ascii="Times New Roman" w:hAnsi="Times New Roman" w:eastAsia="仿宋_GB2312" w:cs="黑体"/>
          <w:kern w:val="0"/>
          <w:sz w:val="30"/>
          <w:szCs w:val="30"/>
          <w:lang w:val="en-US" w:eastAsia="zh-CN"/>
        </w:rPr>
        <w:t>生命科学与健康学院研究生奖学金评定领导小组</w:t>
      </w:r>
    </w:p>
    <w:p>
      <w:pPr>
        <w:ind w:firstLine="600" w:firstLineChars="200"/>
        <w:jc w:val="right"/>
        <w:rPr>
          <w:rFonts w:hint="default" w:ascii="Times New Roman" w:hAnsi="Times New Roman" w:eastAsia="仿宋_GB2312" w:cs="黑体"/>
          <w:kern w:val="0"/>
          <w:sz w:val="30"/>
          <w:szCs w:val="30"/>
          <w:lang w:val="en-US" w:eastAsia="zh-CN"/>
        </w:rPr>
      </w:pPr>
      <w:r>
        <w:rPr>
          <w:rFonts w:hint="eastAsia" w:ascii="Times New Roman" w:hAnsi="Times New Roman" w:eastAsia="仿宋_GB2312" w:cs="黑体"/>
          <w:kern w:val="0"/>
          <w:sz w:val="30"/>
          <w:szCs w:val="30"/>
          <w:lang w:val="en-US" w:eastAsia="zh-CN"/>
        </w:rPr>
        <w:t>2022年6月</w:t>
      </w:r>
      <w:r>
        <w:rPr>
          <w:rFonts w:hint="eastAsia" w:eastAsia="仿宋_GB2312" w:cs="黑体"/>
          <w:kern w:val="0"/>
          <w:sz w:val="30"/>
          <w:szCs w:val="30"/>
          <w:lang w:val="en-US" w:eastAsia="zh-CN"/>
        </w:rPr>
        <w:t>2</w:t>
      </w:r>
      <w:bookmarkStart w:id="2" w:name="_GoBack"/>
      <w:bookmarkEnd w:id="2"/>
      <w:r>
        <w:rPr>
          <w:rFonts w:hint="eastAsia" w:ascii="Times New Roman" w:hAnsi="Times New Roman" w:eastAsia="仿宋_GB2312" w:cs="黑体"/>
          <w:kern w:val="0"/>
          <w:sz w:val="30"/>
          <w:szCs w:val="30"/>
          <w:lang w:val="en-US" w:eastAsia="zh-CN"/>
        </w:rPr>
        <w:t>日</w:t>
      </w:r>
    </w:p>
    <w:p>
      <w:pPr>
        <w:pStyle w:val="8"/>
        <w:numPr>
          <w:numId w:val="0"/>
        </w:numPr>
        <w:spacing w:before="312" w:beforeLines="100" w:after="156" w:afterLines="50"/>
        <w:jc w:val="left"/>
        <w:rPr>
          <w:rFonts w:hint="eastAsia" w:ascii="黑体" w:hAnsi="黑体" w:eastAsia="黑体"/>
          <w:color w:val="auto"/>
          <w:sz w:val="30"/>
          <w:szCs w:val="30"/>
        </w:rPr>
      </w:pPr>
    </w:p>
    <w:sectPr>
      <w:headerReference r:id="rId3" w:type="default"/>
      <w:pgSz w:w="11906" w:h="16838"/>
      <w:pgMar w:top="2041" w:right="1474"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2A5852-EA1C-4362-8845-D9FF0697A2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344FFB2B-6866-4C50-83D9-5F650904C4F7}"/>
  </w:font>
  <w:font w:name="仿宋_GB2312">
    <w:altName w:val="仿宋"/>
    <w:panose1 w:val="02010609030101010101"/>
    <w:charset w:val="86"/>
    <w:family w:val="modern"/>
    <w:pitch w:val="default"/>
    <w:sig w:usb0="00000000" w:usb1="00000000" w:usb2="00000010" w:usb3="00000000" w:csb0="00040000" w:csb1="00000000"/>
    <w:embedRegular r:id="rId3" w:fontKey="{6EA17301-A41B-4A2C-A2B4-39FA24BB6445}"/>
  </w:font>
  <w:font w:name="仿宋">
    <w:panose1 w:val="02010609060101010101"/>
    <w:charset w:val="86"/>
    <w:family w:val="auto"/>
    <w:pitch w:val="default"/>
    <w:sig w:usb0="800002BF" w:usb1="38CF7CFA" w:usb2="00000016" w:usb3="00000000" w:csb0="00040001" w:csb1="00000000"/>
    <w:embedRegular r:id="rId4" w:fontKey="{646BB9B1-6E6F-4A21-9E07-A4C1559F990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A5100"/>
    <w:multiLevelType w:val="singleLevel"/>
    <w:tmpl w:val="961A5100"/>
    <w:lvl w:ilvl="0" w:tentative="0">
      <w:start w:val="5"/>
      <w:numFmt w:val="chineseCounting"/>
      <w:suff w:val="nothing"/>
      <w:lvlText w:val="%1、"/>
      <w:lvlJc w:val="left"/>
      <w:rPr>
        <w:rFonts w:hint="eastAsia"/>
      </w:rPr>
    </w:lvl>
  </w:abstractNum>
  <w:abstractNum w:abstractNumId="1">
    <w:nsid w:val="62A9E0C6"/>
    <w:multiLevelType w:val="singleLevel"/>
    <w:tmpl w:val="62A9E0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Tg5NWRkMjIzYWYwOWRmNmVhZTkwYzhjNGNiOTgifQ=="/>
  </w:docVars>
  <w:rsids>
    <w:rsidRoot w:val="00237433"/>
    <w:rsid w:val="00023259"/>
    <w:rsid w:val="00045858"/>
    <w:rsid w:val="000F3FA6"/>
    <w:rsid w:val="001437E5"/>
    <w:rsid w:val="001D4D49"/>
    <w:rsid w:val="00227593"/>
    <w:rsid w:val="002354D8"/>
    <w:rsid w:val="00237433"/>
    <w:rsid w:val="0024556D"/>
    <w:rsid w:val="00316D93"/>
    <w:rsid w:val="00320DFB"/>
    <w:rsid w:val="003B4CAD"/>
    <w:rsid w:val="004755DA"/>
    <w:rsid w:val="004A2053"/>
    <w:rsid w:val="00501625"/>
    <w:rsid w:val="006765BD"/>
    <w:rsid w:val="007423FE"/>
    <w:rsid w:val="007E5B29"/>
    <w:rsid w:val="00823CC8"/>
    <w:rsid w:val="00847E7E"/>
    <w:rsid w:val="008678EB"/>
    <w:rsid w:val="008F235F"/>
    <w:rsid w:val="00984FBC"/>
    <w:rsid w:val="00AC74C2"/>
    <w:rsid w:val="00B04687"/>
    <w:rsid w:val="00B20B2F"/>
    <w:rsid w:val="00B82AF4"/>
    <w:rsid w:val="00BA3A45"/>
    <w:rsid w:val="00BF667B"/>
    <w:rsid w:val="00C97FA0"/>
    <w:rsid w:val="00DD273F"/>
    <w:rsid w:val="00E6391E"/>
    <w:rsid w:val="00F21FEA"/>
    <w:rsid w:val="00F56F3D"/>
    <w:rsid w:val="00FB751E"/>
    <w:rsid w:val="0835295F"/>
    <w:rsid w:val="0A433FB7"/>
    <w:rsid w:val="0A8B4E44"/>
    <w:rsid w:val="0E2C1E88"/>
    <w:rsid w:val="0F792606"/>
    <w:rsid w:val="0F7A131D"/>
    <w:rsid w:val="1150655F"/>
    <w:rsid w:val="12252C69"/>
    <w:rsid w:val="12BF429C"/>
    <w:rsid w:val="154B7684"/>
    <w:rsid w:val="1AA61F67"/>
    <w:rsid w:val="1AAC7208"/>
    <w:rsid w:val="1B4A6862"/>
    <w:rsid w:val="1B6B5A31"/>
    <w:rsid w:val="1B8F3EFE"/>
    <w:rsid w:val="22E7537F"/>
    <w:rsid w:val="23F232B8"/>
    <w:rsid w:val="28E64333"/>
    <w:rsid w:val="2E8D3336"/>
    <w:rsid w:val="3BD073DC"/>
    <w:rsid w:val="3C381E0C"/>
    <w:rsid w:val="3CF01200"/>
    <w:rsid w:val="4215694A"/>
    <w:rsid w:val="43974C55"/>
    <w:rsid w:val="45277C59"/>
    <w:rsid w:val="4D5A23FF"/>
    <w:rsid w:val="4FC75B65"/>
    <w:rsid w:val="52735A68"/>
    <w:rsid w:val="56836943"/>
    <w:rsid w:val="598D66F6"/>
    <w:rsid w:val="5AFE697B"/>
    <w:rsid w:val="65D10D5A"/>
    <w:rsid w:val="65F80C1F"/>
    <w:rsid w:val="7077559C"/>
    <w:rsid w:val="730C7EA6"/>
    <w:rsid w:val="731B0D4D"/>
    <w:rsid w:val="7864508A"/>
    <w:rsid w:val="7E663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Toshiba</Company>
  <Pages>5</Pages>
  <Words>1834</Words>
  <Characters>1951</Characters>
  <Lines>15</Lines>
  <Paragraphs>4</Paragraphs>
  <TotalTime>0</TotalTime>
  <ScaleCrop>false</ScaleCrop>
  <LinksUpToDate>false</LinksUpToDate>
  <CharactersWithSpaces>1982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2018-10-12T02:22:00Z</dcterms:created>
  <dc:creator>toshiba</dc:creator>
  <cp:lastModifiedBy>阿童木的木</cp:lastModifiedBy>
  <cp:lastPrinted>2015-05-19T07:29:00Z</cp:lastPrinted>
  <dcterms:modified xsi:type="dcterms:W3CDTF">2022-06-08T02:21:35Z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4D16877E95A54E5DAD5E9ACD2E3329EC</vt:lpwstr>
  </property>
</Properties>
</file>